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BFFC" w14:textId="77777777" w:rsidR="00DC1F70" w:rsidRDefault="00DC1F70">
      <w:pPr>
        <w:pStyle w:val="Els-Author"/>
        <w:rPr>
          <w:b/>
          <w:bCs/>
          <w:noProof w:val="0"/>
          <w:color w:val="000000" w:themeColor="text1"/>
          <w:sz w:val="32"/>
        </w:rPr>
      </w:pPr>
    </w:p>
    <w:p w14:paraId="01CB23F3" w14:textId="24DB3FAD" w:rsidR="00434A25" w:rsidRDefault="00434A25" w:rsidP="00D41F41">
      <w:pPr>
        <w:pStyle w:val="Els-Author"/>
        <w:jc w:val="both"/>
      </w:pPr>
      <w:bookmarkStart w:id="0" w:name="_Hlk149556700"/>
      <w:r w:rsidRPr="00434A25">
        <w:rPr>
          <w:b/>
          <w:bCs/>
          <w:noProof w:val="0"/>
          <w:color w:val="000000" w:themeColor="text1"/>
          <w:sz w:val="32"/>
        </w:rPr>
        <w:t>From laboratory scale to innovative spruce-based biorefinery. Note I</w:t>
      </w:r>
      <w:r w:rsidR="006036DC">
        <w:rPr>
          <w:b/>
          <w:bCs/>
          <w:noProof w:val="0"/>
          <w:color w:val="000000" w:themeColor="text1"/>
          <w:sz w:val="32"/>
        </w:rPr>
        <w:t>I</w:t>
      </w:r>
      <w:r w:rsidRPr="00434A25">
        <w:rPr>
          <w:b/>
          <w:bCs/>
          <w:noProof w:val="0"/>
          <w:color w:val="000000" w:themeColor="text1"/>
          <w:sz w:val="32"/>
        </w:rPr>
        <w:t xml:space="preserve">: </w:t>
      </w:r>
      <w:r w:rsidR="006036DC">
        <w:rPr>
          <w:b/>
          <w:bCs/>
          <w:noProof w:val="0"/>
          <w:color w:val="000000" w:themeColor="text1"/>
          <w:sz w:val="32"/>
        </w:rPr>
        <w:t xml:space="preserve">Preliminary techno-economic </w:t>
      </w:r>
      <w:proofErr w:type="gramStart"/>
      <w:r w:rsidR="006036DC">
        <w:rPr>
          <w:b/>
          <w:bCs/>
          <w:noProof w:val="0"/>
          <w:color w:val="000000" w:themeColor="text1"/>
          <w:sz w:val="32"/>
        </w:rPr>
        <w:t>assessment</w:t>
      </w:r>
      <w:proofErr w:type="gramEnd"/>
    </w:p>
    <w:bookmarkEnd w:id="0"/>
    <w:p w14:paraId="144DE680" w14:textId="388A2F63" w:rsidR="00DD3D9E" w:rsidRDefault="00434A25">
      <w:pPr>
        <w:pStyle w:val="Els-Author"/>
      </w:pPr>
      <w:r w:rsidRPr="00434A25">
        <w:rPr>
          <w:lang w:val="en-US"/>
        </w:rPr>
        <w:t>Matteo Gilardi</w:t>
      </w:r>
      <w:r w:rsidRPr="00434A25">
        <w:rPr>
          <w:vertAlign w:val="superscript"/>
          <w:lang w:val="en-US"/>
        </w:rPr>
        <w:t>a,*</w:t>
      </w:r>
      <w:r w:rsidR="001A76AB" w:rsidRPr="00434A25">
        <w:rPr>
          <w:lang w:val="en-US"/>
        </w:rPr>
        <w:t>,</w:t>
      </w:r>
      <w:r w:rsidRPr="00434A25">
        <w:rPr>
          <w:lang w:val="en-US"/>
        </w:rPr>
        <w:t xml:space="preserve"> Filippo Bisotti</w:t>
      </w:r>
      <w:r w:rsidRPr="00434A25">
        <w:rPr>
          <w:vertAlign w:val="superscript"/>
          <w:lang w:val="en-US"/>
        </w:rPr>
        <w:t>a,*</w:t>
      </w:r>
      <w:r w:rsidR="001A76AB" w:rsidRPr="00434A25">
        <w:rPr>
          <w:lang w:val="en-US"/>
        </w:rPr>
        <w:t>,</w:t>
      </w:r>
      <w:r w:rsidR="001A76AB">
        <w:rPr>
          <w:lang w:val="en-US"/>
        </w:rPr>
        <w:t xml:space="preserve"> </w:t>
      </w:r>
      <w:r w:rsidRPr="00434A25">
        <w:rPr>
          <w:lang w:val="en-US"/>
        </w:rPr>
        <w:t>Olaf T. Berglihn</w:t>
      </w:r>
      <w:r w:rsidRPr="00434A25">
        <w:rPr>
          <w:vertAlign w:val="superscript"/>
          <w:lang w:val="en-US"/>
        </w:rPr>
        <w:t>a</w:t>
      </w:r>
      <w:r w:rsidR="001A76AB" w:rsidRPr="00434A25">
        <w:rPr>
          <w:lang w:val="en-US"/>
        </w:rPr>
        <w:t>,</w:t>
      </w:r>
      <w:r w:rsidR="001A76AB">
        <w:rPr>
          <w:lang w:val="en-US"/>
        </w:rPr>
        <w:t xml:space="preserve"> </w:t>
      </w:r>
      <w:r w:rsidRPr="00434A25">
        <w:rPr>
          <w:lang w:val="en-US"/>
        </w:rPr>
        <w:t>Roman Tschentscher</w:t>
      </w:r>
      <w:r w:rsidRPr="00434A25">
        <w:rPr>
          <w:vertAlign w:val="superscript"/>
          <w:lang w:val="en-US"/>
        </w:rPr>
        <w:t>b</w:t>
      </w:r>
      <w:r w:rsidR="001A76AB" w:rsidRPr="00434A25">
        <w:rPr>
          <w:lang w:val="en-US"/>
        </w:rPr>
        <w:t>,</w:t>
      </w:r>
      <w:r w:rsidRPr="00434A25">
        <w:rPr>
          <w:lang w:val="en-US"/>
        </w:rPr>
        <w:t xml:space="preserve"> Line D. Hansen</w:t>
      </w:r>
      <w:r w:rsidRPr="00434A25">
        <w:rPr>
          <w:vertAlign w:val="superscript"/>
          <w:lang w:val="en-US"/>
        </w:rPr>
        <w:t>c</w:t>
      </w:r>
      <w:r w:rsidR="001A76AB" w:rsidRPr="00434A25">
        <w:rPr>
          <w:lang w:val="en-US"/>
        </w:rPr>
        <w:t>,</w:t>
      </w:r>
      <w:r w:rsidRPr="00434A25">
        <w:rPr>
          <w:lang w:val="en-US"/>
        </w:rPr>
        <w:t xml:space="preserve"> Svein J. Horn</w:t>
      </w:r>
      <w:r w:rsidRPr="00434A25">
        <w:rPr>
          <w:vertAlign w:val="superscript"/>
          <w:lang w:val="en-US"/>
        </w:rPr>
        <w:t>c</w:t>
      </w:r>
      <w:r w:rsidR="001A76AB" w:rsidRPr="00434A25">
        <w:rPr>
          <w:lang w:val="en-US"/>
        </w:rPr>
        <w:t>,</w:t>
      </w:r>
      <w:r w:rsidR="00996740" w:rsidRPr="00996740">
        <w:rPr>
          <w:lang w:val="en-US"/>
        </w:rPr>
        <w:t xml:space="preserve"> </w:t>
      </w:r>
      <w:r w:rsidR="00996740" w:rsidRPr="00434A25">
        <w:rPr>
          <w:lang w:val="en-US"/>
        </w:rPr>
        <w:t>Anikó Várnai</w:t>
      </w:r>
      <w:r w:rsidR="00996740" w:rsidRPr="00434A25">
        <w:rPr>
          <w:vertAlign w:val="superscript"/>
          <w:lang w:val="en-US"/>
        </w:rPr>
        <w:t>c</w:t>
      </w:r>
      <w:r w:rsidR="00996740" w:rsidRPr="00434A25">
        <w:rPr>
          <w:lang w:val="en-US"/>
        </w:rPr>
        <w:t xml:space="preserve">, </w:t>
      </w:r>
      <w:r w:rsidRPr="00434A25">
        <w:rPr>
          <w:lang w:val="en-US"/>
        </w:rPr>
        <w:t>Bernd Wittgens</w:t>
      </w:r>
      <w:r w:rsidRPr="00434A25">
        <w:rPr>
          <w:vertAlign w:val="superscript"/>
          <w:lang w:val="en-US"/>
        </w:rPr>
        <w:t>a</w:t>
      </w:r>
      <w:r w:rsidRPr="00434A25">
        <w:t> </w:t>
      </w:r>
    </w:p>
    <w:p w14:paraId="144DE681" w14:textId="262500B3" w:rsidR="00DD3D9E" w:rsidRDefault="00434A25">
      <w:pPr>
        <w:pStyle w:val="Els-Affiliation"/>
        <w:rPr>
          <w:iCs/>
        </w:rPr>
      </w:pPr>
      <w:r w:rsidRPr="00434A25">
        <w:rPr>
          <w:vertAlign w:val="superscript"/>
        </w:rPr>
        <w:t>a</w:t>
      </w:r>
      <w:r w:rsidR="00D41F41">
        <w:rPr>
          <w:vertAlign w:val="superscript"/>
        </w:rPr>
        <w:t xml:space="preserve"> </w:t>
      </w:r>
      <w:r w:rsidRPr="00434A25">
        <w:rPr>
          <w:iCs/>
        </w:rPr>
        <w:t xml:space="preserve">SINTEF Industry-Process Technology, </w:t>
      </w:r>
      <w:r w:rsidR="007D7F8E">
        <w:rPr>
          <w:iCs/>
        </w:rPr>
        <w:t>Sem Sælands</w:t>
      </w:r>
      <w:r w:rsidR="007D7F8E" w:rsidRPr="00434A25">
        <w:rPr>
          <w:iCs/>
        </w:rPr>
        <w:t xml:space="preserve"> vei 2, Trondheim, 7034, Norway</w:t>
      </w:r>
    </w:p>
    <w:p w14:paraId="4B9FABB6" w14:textId="522F6888" w:rsidR="00434A25" w:rsidRPr="00D41F41" w:rsidRDefault="00434A25">
      <w:pPr>
        <w:pStyle w:val="Els-Affiliation"/>
        <w:rPr>
          <w:rStyle w:val="normaltextrun"/>
          <w:color w:val="000000"/>
          <w:shd w:val="clear" w:color="auto" w:fill="FFFFFF"/>
        </w:rPr>
      </w:pPr>
      <w:r w:rsidRPr="00D41F41">
        <w:rPr>
          <w:rStyle w:val="normaltextrun"/>
          <w:color w:val="000000"/>
          <w:shd w:val="clear" w:color="auto" w:fill="FFFFFF"/>
          <w:vertAlign w:val="superscript"/>
        </w:rPr>
        <w:t>b</w:t>
      </w:r>
      <w:r w:rsidR="00D41F41" w:rsidRPr="00D41F41">
        <w:rPr>
          <w:rStyle w:val="normaltextrun"/>
          <w:color w:val="000000"/>
          <w:shd w:val="clear" w:color="auto" w:fill="FFFFFF"/>
          <w:vertAlign w:val="superscript"/>
        </w:rPr>
        <w:t xml:space="preserve"> </w:t>
      </w:r>
      <w:r w:rsidRPr="00D41F41">
        <w:rPr>
          <w:rStyle w:val="normaltextrun"/>
          <w:color w:val="000000"/>
          <w:shd w:val="clear" w:color="auto" w:fill="FFFFFF"/>
        </w:rPr>
        <w:t>SINTEF Industry-Process Technology, Forskningsveien 1, Oslo</w:t>
      </w:r>
      <w:r w:rsidR="00572C0C">
        <w:rPr>
          <w:rStyle w:val="normaltextrun"/>
          <w:color w:val="000000"/>
          <w:shd w:val="clear" w:color="auto" w:fill="FFFFFF"/>
        </w:rPr>
        <w:t xml:space="preserve">, </w:t>
      </w:r>
      <w:r w:rsidRPr="00D41F41">
        <w:rPr>
          <w:rStyle w:val="normaltextrun"/>
          <w:color w:val="000000"/>
          <w:shd w:val="clear" w:color="auto" w:fill="FFFFFF"/>
        </w:rPr>
        <w:t>0373, Norway</w:t>
      </w:r>
    </w:p>
    <w:p w14:paraId="1B955505" w14:textId="4A406004" w:rsidR="00434A25" w:rsidRDefault="00434A25">
      <w:pPr>
        <w:pStyle w:val="Els-Affiliation"/>
      </w:pPr>
      <w:r w:rsidRPr="00434A25">
        <w:rPr>
          <w:iCs/>
          <w:vertAlign w:val="superscript"/>
        </w:rPr>
        <w:t>c</w:t>
      </w:r>
      <w:r w:rsidR="00D41F41">
        <w:rPr>
          <w:iCs/>
          <w:vertAlign w:val="superscript"/>
        </w:rPr>
        <w:t xml:space="preserve"> </w:t>
      </w:r>
      <w:r w:rsidRPr="00434A25">
        <w:rPr>
          <w:iCs/>
        </w:rPr>
        <w:t>Faculty of Chemistry, Biotechnology and Food Science, NMBU, Chr. Magnus Falsens vei 18, Aas</w:t>
      </w:r>
      <w:r w:rsidR="00572C0C">
        <w:rPr>
          <w:iCs/>
        </w:rPr>
        <w:t xml:space="preserve">, </w:t>
      </w:r>
      <w:r w:rsidRPr="00434A25">
        <w:rPr>
          <w:iCs/>
        </w:rPr>
        <w:t>1433, Norway</w:t>
      </w:r>
      <w:r w:rsidRPr="00434A25">
        <w:t> </w:t>
      </w:r>
    </w:p>
    <w:p w14:paraId="59CF9AB9" w14:textId="07AA6BCD" w:rsidR="00434A25" w:rsidRDefault="00434A25">
      <w:pPr>
        <w:pStyle w:val="Els-Affiliation"/>
      </w:pPr>
      <w:r w:rsidRPr="00434A25">
        <w:rPr>
          <w:iCs/>
        </w:rPr>
        <w:t xml:space="preserve">* </w:t>
      </w:r>
      <w:hyperlink r:id="rId11" w:tgtFrame="_blank" w:history="1">
        <w:r w:rsidRPr="00434A25">
          <w:rPr>
            <w:rStyle w:val="Hyperlink"/>
            <w:iCs/>
          </w:rPr>
          <w:t>matteo.gilardi@sintef.no</w:t>
        </w:r>
      </w:hyperlink>
      <w:r w:rsidRPr="00434A25">
        <w:rPr>
          <w:iCs/>
        </w:rPr>
        <w:t xml:space="preserve">; </w:t>
      </w:r>
      <w:hyperlink r:id="rId12" w:tgtFrame="_blank" w:history="1">
        <w:r w:rsidRPr="00434A25">
          <w:rPr>
            <w:rStyle w:val="Hyperlink"/>
            <w:iCs/>
          </w:rPr>
          <w:t>filippo.bisotti@sintef.no</w:t>
        </w:r>
      </w:hyperlink>
      <w:r w:rsidRPr="00434A25">
        <w:rPr>
          <w:iCs/>
        </w:rPr>
        <w:t xml:space="preserve"> (corresponding authors)</w:t>
      </w:r>
      <w:r w:rsidRPr="00434A25">
        <w:t> </w:t>
      </w:r>
    </w:p>
    <w:p w14:paraId="144DE684" w14:textId="77777777" w:rsidR="008D2649" w:rsidRDefault="008D2649" w:rsidP="008D2649">
      <w:pPr>
        <w:pStyle w:val="Els-Abstract"/>
      </w:pPr>
      <w:r>
        <w:t>Abstract</w:t>
      </w:r>
    </w:p>
    <w:p w14:paraId="144DE686" w14:textId="4A42F46E" w:rsidR="008D2649" w:rsidRDefault="003465AA" w:rsidP="008D2649">
      <w:pPr>
        <w:pStyle w:val="Els-body-text"/>
        <w:spacing w:after="120"/>
        <w:rPr>
          <w:lang w:val="en-GB"/>
        </w:rPr>
      </w:pPr>
      <w:r w:rsidRPr="003465AA">
        <w:rPr>
          <w:lang w:val="en-GB"/>
        </w:rPr>
        <w:t>This work shows a preliminary techno-economic assessment (TEA) of a biorefinery co-producing ethanol, pyrolysis oil and char from Norway spruce (</w:t>
      </w:r>
      <w:r w:rsidRPr="00612EA1">
        <w:rPr>
          <w:i/>
          <w:iCs/>
          <w:lang w:val="en-GB"/>
        </w:rPr>
        <w:t xml:space="preserve">Picea </w:t>
      </w:r>
      <w:proofErr w:type="spellStart"/>
      <w:r w:rsidRPr="00612EA1">
        <w:rPr>
          <w:i/>
          <w:iCs/>
          <w:lang w:val="en-GB"/>
        </w:rPr>
        <w:t>abies</w:t>
      </w:r>
      <w:proofErr w:type="spellEnd"/>
      <w:r w:rsidRPr="003465AA">
        <w:rPr>
          <w:lang w:val="en-GB"/>
        </w:rPr>
        <w:t xml:space="preserve">) </w:t>
      </w:r>
      <w:r w:rsidR="001238D2">
        <w:rPr>
          <w:lang w:val="en-GB"/>
        </w:rPr>
        <w:t>via</w:t>
      </w:r>
      <w:r w:rsidR="001238D2" w:rsidRPr="003465AA">
        <w:rPr>
          <w:lang w:val="en-GB"/>
        </w:rPr>
        <w:t xml:space="preserve"> </w:t>
      </w:r>
      <w:r w:rsidRPr="003465AA">
        <w:rPr>
          <w:lang w:val="en-GB"/>
        </w:rPr>
        <w:t>steam explosion and enzymatic saccharification followed by anaerobic fermentation of the sugars, and fast pyrolysis of the lignin</w:t>
      </w:r>
      <w:r w:rsidR="001238D2">
        <w:rPr>
          <w:lang w:val="en-GB"/>
        </w:rPr>
        <w:t>-rich</w:t>
      </w:r>
      <w:r w:rsidRPr="003465AA">
        <w:rPr>
          <w:lang w:val="en-GB"/>
        </w:rPr>
        <w:t xml:space="preserve"> </w:t>
      </w:r>
      <w:r w:rsidR="001238D2">
        <w:rPr>
          <w:lang w:val="en-GB"/>
        </w:rPr>
        <w:t xml:space="preserve">saccharification </w:t>
      </w:r>
      <w:r w:rsidRPr="003465AA">
        <w:rPr>
          <w:lang w:val="en-GB"/>
        </w:rPr>
        <w:t>residue. The capacity of the modelled biorefinery was set to treat 100,000 tons of dry wood per year. The input for the assessment of the facility was retrieved from process simulations carried out in COFE</w:t>
      </w:r>
      <w:r w:rsidR="00166B0B">
        <w:rPr>
          <w:lang w:val="en-GB"/>
        </w:rPr>
        <w:t xml:space="preserve"> v3.6</w:t>
      </w:r>
      <w:r w:rsidR="00FD3040">
        <w:rPr>
          <w:lang w:val="en-GB"/>
        </w:rPr>
        <w:t xml:space="preserve"> (</w:t>
      </w:r>
      <w:proofErr w:type="spellStart"/>
      <w:r w:rsidR="00FD3040">
        <w:rPr>
          <w:lang w:val="en-GB"/>
        </w:rPr>
        <w:t>AmsterCHEM</w:t>
      </w:r>
      <w:proofErr w:type="spellEnd"/>
      <w:r w:rsidR="00FD3040">
        <w:rPr>
          <w:lang w:val="en-GB"/>
        </w:rPr>
        <w:t xml:space="preserve">), </w:t>
      </w:r>
      <w:r w:rsidRPr="003465AA">
        <w:rPr>
          <w:lang w:val="en-GB"/>
        </w:rPr>
        <w:t xml:space="preserve">see Note I. </w:t>
      </w:r>
      <w:r w:rsidR="0002332D" w:rsidRPr="0002332D">
        <w:rPr>
          <w:lang w:val="en-GB"/>
        </w:rPr>
        <w:t xml:space="preserve">Here, we propose different strategies to minimize the total costs of the biorefinery. </w:t>
      </w:r>
      <w:r w:rsidR="00100859">
        <w:rPr>
          <w:lang w:val="en-GB"/>
        </w:rPr>
        <w:t>The r</w:t>
      </w:r>
      <w:r w:rsidRPr="003465AA">
        <w:rPr>
          <w:lang w:val="en-GB"/>
        </w:rPr>
        <w:t xml:space="preserve">esults indicate that </w:t>
      </w:r>
      <w:r w:rsidR="00BB463F">
        <w:rPr>
          <w:lang w:val="en-GB"/>
        </w:rPr>
        <w:t xml:space="preserve">the studied </w:t>
      </w:r>
      <w:r w:rsidRPr="003465AA">
        <w:rPr>
          <w:lang w:val="en-GB"/>
        </w:rPr>
        <w:t xml:space="preserve">biorefinery </w:t>
      </w:r>
      <w:r w:rsidR="00971035">
        <w:rPr>
          <w:lang w:val="en-GB"/>
        </w:rPr>
        <w:t xml:space="preserve">process </w:t>
      </w:r>
      <w:r w:rsidR="001E6D64">
        <w:rPr>
          <w:lang w:val="en-GB"/>
        </w:rPr>
        <w:t xml:space="preserve">is </w:t>
      </w:r>
      <w:r w:rsidRPr="003465AA">
        <w:rPr>
          <w:lang w:val="en-GB"/>
        </w:rPr>
        <w:t>economically feasible</w:t>
      </w:r>
      <w:r w:rsidR="00AA7A72">
        <w:rPr>
          <w:lang w:val="en-GB"/>
        </w:rPr>
        <w:t>,</w:t>
      </w:r>
      <w:r w:rsidR="001E6D64">
        <w:rPr>
          <w:lang w:val="en-GB"/>
        </w:rPr>
        <w:t xml:space="preserve"> </w:t>
      </w:r>
      <w:r w:rsidR="00646591">
        <w:rPr>
          <w:lang w:val="en-GB"/>
        </w:rPr>
        <w:t>while</w:t>
      </w:r>
      <w:r w:rsidR="001E6D64">
        <w:rPr>
          <w:lang w:val="en-GB"/>
        </w:rPr>
        <w:t xml:space="preserve"> its </w:t>
      </w:r>
      <w:r w:rsidRPr="003465AA">
        <w:rPr>
          <w:lang w:val="en-GB"/>
        </w:rPr>
        <w:t>profitability</w:t>
      </w:r>
      <w:r w:rsidR="00100859">
        <w:rPr>
          <w:lang w:val="en-GB"/>
        </w:rPr>
        <w:t xml:space="preserve"> </w:t>
      </w:r>
      <w:r w:rsidRPr="003465AA">
        <w:rPr>
          <w:lang w:val="en-GB"/>
        </w:rPr>
        <w:t>depend</w:t>
      </w:r>
      <w:r w:rsidR="001E6D64">
        <w:rPr>
          <w:lang w:val="en-GB"/>
        </w:rPr>
        <w:t>s</w:t>
      </w:r>
      <w:r w:rsidRPr="003465AA">
        <w:rPr>
          <w:lang w:val="en-GB"/>
        </w:rPr>
        <w:t xml:space="preserve"> considerably on the source of hydrogen, oscillation in the market price of the generated products and utility costs.</w:t>
      </w:r>
    </w:p>
    <w:p w14:paraId="144DE687" w14:textId="6FB6BB1D" w:rsidR="008D2649" w:rsidRDefault="008D2649" w:rsidP="008D2649">
      <w:pPr>
        <w:pStyle w:val="Els-body-text"/>
        <w:spacing w:after="120"/>
        <w:rPr>
          <w:lang w:val="en-GB"/>
        </w:rPr>
      </w:pPr>
      <w:r>
        <w:rPr>
          <w:b/>
          <w:bCs/>
          <w:lang w:val="en-GB"/>
        </w:rPr>
        <w:t>Keywords</w:t>
      </w:r>
      <w:r>
        <w:rPr>
          <w:lang w:val="en-GB"/>
        </w:rPr>
        <w:t xml:space="preserve">: </w:t>
      </w:r>
      <w:r w:rsidR="00612EA1">
        <w:rPr>
          <w:lang w:val="en-GB"/>
        </w:rPr>
        <w:t xml:space="preserve">biorefinery, techno-economic assessment, energy integration, </w:t>
      </w:r>
      <w:r w:rsidR="00FC075F">
        <w:rPr>
          <w:lang w:val="en-GB"/>
        </w:rPr>
        <w:t>hydrogen, bio-</w:t>
      </w:r>
      <w:proofErr w:type="gramStart"/>
      <w:r w:rsidR="00FC075F">
        <w:rPr>
          <w:lang w:val="en-GB"/>
        </w:rPr>
        <w:t>oil</w:t>
      </w:r>
      <w:proofErr w:type="gramEnd"/>
      <w:r w:rsidR="00FC075F">
        <w:rPr>
          <w:lang w:val="en-GB"/>
        </w:rPr>
        <w:t xml:space="preserve"> and </w:t>
      </w:r>
      <w:r w:rsidR="005B385A">
        <w:rPr>
          <w:lang w:val="en-GB"/>
        </w:rPr>
        <w:t>bio</w:t>
      </w:r>
      <w:r w:rsidR="00FC075F">
        <w:rPr>
          <w:lang w:val="en-GB"/>
        </w:rPr>
        <w:t xml:space="preserve">ethanol </w:t>
      </w:r>
      <w:r w:rsidR="005B385A">
        <w:rPr>
          <w:lang w:val="en-GB"/>
        </w:rPr>
        <w:t>pr</w:t>
      </w:r>
      <w:r w:rsidR="00657507">
        <w:rPr>
          <w:lang w:val="en-GB"/>
        </w:rPr>
        <w:t>oduction</w:t>
      </w:r>
      <w:r w:rsidR="00A46C4B">
        <w:rPr>
          <w:lang w:val="en-GB"/>
        </w:rPr>
        <w:t xml:space="preserve">, biorefinery </w:t>
      </w:r>
      <w:r w:rsidR="00934A2E">
        <w:rPr>
          <w:lang w:val="en-GB"/>
        </w:rPr>
        <w:t>optimization</w:t>
      </w:r>
    </w:p>
    <w:p w14:paraId="144DE689" w14:textId="7F01C86E" w:rsidR="008D2649" w:rsidRDefault="00CA5643" w:rsidP="008D2649">
      <w:pPr>
        <w:pStyle w:val="Els-1storder-head"/>
      </w:pPr>
      <w:r>
        <w:t>Introduction</w:t>
      </w:r>
    </w:p>
    <w:p w14:paraId="5678B5AA" w14:textId="2CC55787" w:rsidR="00D00B18" w:rsidRDefault="003F7B52" w:rsidP="0008540C">
      <w:pPr>
        <w:pStyle w:val="Els-body-text"/>
      </w:pPr>
      <w:r>
        <w:t>The need for d</w:t>
      </w:r>
      <w:r w:rsidR="0028596B">
        <w:t>ecarboni</w:t>
      </w:r>
      <w:r w:rsidR="0013712F">
        <w:t>z</w:t>
      </w:r>
      <w:r w:rsidR="0028596B">
        <w:t>ation</w:t>
      </w:r>
      <w:r w:rsidR="004C0775">
        <w:t xml:space="preserve"> </w:t>
      </w:r>
      <w:r w:rsidR="007C74B4">
        <w:t>drives</w:t>
      </w:r>
      <w:r w:rsidR="005164FE">
        <w:t xml:space="preserve"> </w:t>
      </w:r>
      <w:r w:rsidR="00C715F8">
        <w:t xml:space="preserve">a </w:t>
      </w:r>
      <w:r w:rsidR="00F660E0">
        <w:t>shift</w:t>
      </w:r>
      <w:r w:rsidR="005164FE">
        <w:t xml:space="preserve"> from fossil fuel- to bio</w:t>
      </w:r>
      <w:r w:rsidR="00117CDB">
        <w:t>-based economy. In this scenario, bio-products (</w:t>
      </w:r>
      <w:r w:rsidR="00A8381F">
        <w:t>bulk bio</w:t>
      </w:r>
      <w:r w:rsidR="00117CDB">
        <w:t>chemicals</w:t>
      </w:r>
      <w:r w:rsidR="00A8381F">
        <w:t xml:space="preserve"> </w:t>
      </w:r>
      <w:r w:rsidR="00F42484">
        <w:t xml:space="preserve">such </w:t>
      </w:r>
      <w:r w:rsidR="00A8381F">
        <w:t>as methanol</w:t>
      </w:r>
      <w:r w:rsidR="00F42484">
        <w:t xml:space="preserve">, </w:t>
      </w:r>
      <w:r w:rsidR="00A8381F">
        <w:t>ethanol</w:t>
      </w:r>
      <w:r w:rsidR="00BE1C5C">
        <w:t>,</w:t>
      </w:r>
      <w:r w:rsidR="00F42484">
        <w:t xml:space="preserve"> and </w:t>
      </w:r>
      <w:r w:rsidR="009B1427">
        <w:t>biofuels</w:t>
      </w:r>
      <w:r w:rsidR="00A8381F">
        <w:t>)</w:t>
      </w:r>
      <w:r w:rsidR="001950CC">
        <w:t xml:space="preserve"> are expected to replace the conventional ones produced </w:t>
      </w:r>
      <w:r w:rsidR="009B1427">
        <w:t>from</w:t>
      </w:r>
      <w:r w:rsidR="001950CC">
        <w:t xml:space="preserve"> crude oil</w:t>
      </w:r>
      <w:r w:rsidR="00CD1DE3">
        <w:t xml:space="preserve"> (</w:t>
      </w:r>
      <w:r w:rsidR="00FE3E92">
        <w:t>Cheru</w:t>
      </w:r>
      <w:r w:rsidR="00BE4846">
        <w:t>bini et al., 2010</w:t>
      </w:r>
      <w:r w:rsidR="00CD1DE3">
        <w:t>)</w:t>
      </w:r>
      <w:r w:rsidR="001950CC">
        <w:t xml:space="preserve">. </w:t>
      </w:r>
      <w:r w:rsidR="00D521EC">
        <w:t>While t</w:t>
      </w:r>
      <w:r w:rsidR="009B1427">
        <w:t xml:space="preserve">he concept of biorefinery is not new, </w:t>
      </w:r>
      <w:r w:rsidR="00186D92">
        <w:t>design</w:t>
      </w:r>
      <w:r w:rsidR="000C700E">
        <w:t>ing a</w:t>
      </w:r>
      <w:r w:rsidR="004F0717">
        <w:t xml:space="preserve"> process that is </w:t>
      </w:r>
      <w:r w:rsidR="000C700E">
        <w:t xml:space="preserve">economically feasible </w:t>
      </w:r>
      <w:r w:rsidR="004F0717">
        <w:t xml:space="preserve">at </w:t>
      </w:r>
      <w:r w:rsidR="001869DE">
        <w:t>a</w:t>
      </w:r>
      <w:r w:rsidR="004F0717">
        <w:t xml:space="preserve"> commercial scale is a challenge</w:t>
      </w:r>
      <w:r w:rsidR="007837DB">
        <w:t>, partly due to the low cost of fossil</w:t>
      </w:r>
      <w:r w:rsidR="00DB6FF0">
        <w:t xml:space="preserve"> resources</w:t>
      </w:r>
      <w:r w:rsidR="00E26BBC">
        <w:t xml:space="preserve">, </w:t>
      </w:r>
      <w:r w:rsidR="00DB6FF0">
        <w:t xml:space="preserve">the </w:t>
      </w:r>
      <w:r w:rsidR="00272306">
        <w:t xml:space="preserve">high O-content of biomass and </w:t>
      </w:r>
      <w:r w:rsidR="00E26BBC">
        <w:t xml:space="preserve">the </w:t>
      </w:r>
      <w:r w:rsidR="00272306">
        <w:t xml:space="preserve">high </w:t>
      </w:r>
      <w:r w:rsidR="00E01FD7">
        <w:t>complex</w:t>
      </w:r>
      <w:r w:rsidR="00FE5E20">
        <w:t>ity of</w:t>
      </w:r>
      <w:r w:rsidR="00E01FD7">
        <w:t xml:space="preserve"> </w:t>
      </w:r>
      <w:r w:rsidR="00186D92">
        <w:t xml:space="preserve">operations </w:t>
      </w:r>
      <w:r w:rsidR="00586FD2">
        <w:t>(Bisotti et al</w:t>
      </w:r>
      <w:r w:rsidR="00E96F90">
        <w:t>.</w:t>
      </w:r>
      <w:r w:rsidR="00586FD2">
        <w:t>, 2023; Gilardi et al</w:t>
      </w:r>
      <w:r w:rsidR="00E96F90">
        <w:t>.</w:t>
      </w:r>
      <w:r w:rsidR="00586FD2">
        <w:t>, 2023)</w:t>
      </w:r>
      <w:r w:rsidR="004F0D0F">
        <w:t>.</w:t>
      </w:r>
      <w:r w:rsidR="00C12FAB">
        <w:t xml:space="preserve"> </w:t>
      </w:r>
      <w:r w:rsidR="002818D4">
        <w:t xml:space="preserve">Despite the sustainability aspect, </w:t>
      </w:r>
      <w:r w:rsidR="00C12FAB">
        <w:t xml:space="preserve">the </w:t>
      </w:r>
      <w:r w:rsidR="003343A2">
        <w:t xml:space="preserve">marginal </w:t>
      </w:r>
      <w:r w:rsidR="00C12FAB">
        <w:t>profitability</w:t>
      </w:r>
      <w:r w:rsidR="00B03522">
        <w:t>, competi</w:t>
      </w:r>
      <w:r w:rsidR="003343A2">
        <w:t>tion</w:t>
      </w:r>
      <w:r w:rsidR="00B03522">
        <w:t xml:space="preserve"> against </w:t>
      </w:r>
      <w:r w:rsidR="00665DA4">
        <w:t xml:space="preserve">highly optimized </w:t>
      </w:r>
      <w:r w:rsidR="00B03522">
        <w:t xml:space="preserve">traditional </w:t>
      </w:r>
      <w:r w:rsidR="00665DA4">
        <w:t xml:space="preserve">oil </w:t>
      </w:r>
      <w:r w:rsidR="00B03522">
        <w:t>refineries</w:t>
      </w:r>
      <w:r w:rsidR="004E193A">
        <w:t xml:space="preserve"> </w:t>
      </w:r>
      <w:r w:rsidR="00C12FAB">
        <w:t xml:space="preserve">and </w:t>
      </w:r>
      <w:r w:rsidR="00665DA4">
        <w:t>sub</w:t>
      </w:r>
      <w:r w:rsidR="00C12FAB">
        <w:t>optim</w:t>
      </w:r>
      <w:r w:rsidR="00665DA4">
        <w:t xml:space="preserve">al use </w:t>
      </w:r>
      <w:r w:rsidR="004E193A">
        <w:t xml:space="preserve">of </w:t>
      </w:r>
      <w:r w:rsidR="00272306">
        <w:t>o</w:t>
      </w:r>
      <w:r w:rsidR="004E193A">
        <w:t xml:space="preserve">n-site resources </w:t>
      </w:r>
      <w:r w:rsidR="00861495">
        <w:t xml:space="preserve">exacerbate </w:t>
      </w:r>
      <w:r w:rsidR="002818D4">
        <w:t xml:space="preserve">the </w:t>
      </w:r>
      <w:r w:rsidR="00B72447">
        <w:t xml:space="preserve">struggle </w:t>
      </w:r>
      <w:r w:rsidR="007B1873">
        <w:t xml:space="preserve">of biorefineries </w:t>
      </w:r>
      <w:r w:rsidR="00B72447">
        <w:t xml:space="preserve">for </w:t>
      </w:r>
      <w:r w:rsidR="00861495">
        <w:t xml:space="preserve">competitiveness </w:t>
      </w:r>
      <w:r w:rsidR="0019326C">
        <w:t>(Cherubini, 2010)</w:t>
      </w:r>
      <w:r w:rsidR="004E193A">
        <w:t>.</w:t>
      </w:r>
      <w:r w:rsidR="006F3659">
        <w:t xml:space="preserve"> </w:t>
      </w:r>
      <w:r w:rsidR="006B1A82">
        <w:t>Here</w:t>
      </w:r>
      <w:r w:rsidR="006F3659">
        <w:t xml:space="preserve">, we </w:t>
      </w:r>
      <w:r w:rsidR="006B1A82">
        <w:t>provid</w:t>
      </w:r>
      <w:r w:rsidR="002F676C">
        <w:t>e</w:t>
      </w:r>
      <w:r w:rsidR="006F3659">
        <w:t xml:space="preserve"> a preliminary techno-economic assessment </w:t>
      </w:r>
      <w:r w:rsidR="002F676C">
        <w:t xml:space="preserve">(TEA) </w:t>
      </w:r>
      <w:r w:rsidR="006F3659">
        <w:t>of</w:t>
      </w:r>
      <w:r w:rsidR="00DC7B2F">
        <w:t xml:space="preserve"> </w:t>
      </w:r>
      <w:r w:rsidR="00CF00BE">
        <w:t>spruce-to-</w:t>
      </w:r>
      <w:r w:rsidR="00905DA7">
        <w:t xml:space="preserve">fuel biorefinery that is based on </w:t>
      </w:r>
      <w:r w:rsidR="00E403A6">
        <w:t xml:space="preserve">a combined biochemical and thermochemical conversion </w:t>
      </w:r>
      <w:r w:rsidR="006225C9">
        <w:t xml:space="preserve">to produce ethanol </w:t>
      </w:r>
      <w:r w:rsidR="00BC4C5F">
        <w:t>and bio-oil</w:t>
      </w:r>
      <w:r w:rsidR="000F7DD8">
        <w:t>-derived fuel fractions</w:t>
      </w:r>
      <w:r w:rsidR="00101496">
        <w:t xml:space="preserve">, as </w:t>
      </w:r>
      <w:r w:rsidR="00324F4B">
        <w:t xml:space="preserve">described </w:t>
      </w:r>
      <w:r w:rsidR="006F3659">
        <w:t>in Note I.</w:t>
      </w:r>
      <w:r w:rsidR="00447FE0">
        <w:t xml:space="preserve"> </w:t>
      </w:r>
      <w:r w:rsidR="003F3BE5">
        <w:t xml:space="preserve">We </w:t>
      </w:r>
      <w:r w:rsidR="00EC5D3F">
        <w:t>adjusted</w:t>
      </w:r>
      <w:r w:rsidR="0045492B">
        <w:t xml:space="preserve"> the process layout</w:t>
      </w:r>
      <w:r w:rsidR="00100859">
        <w:t xml:space="preserve"> </w:t>
      </w:r>
      <w:r w:rsidR="0045492B">
        <w:t xml:space="preserve">to </w:t>
      </w:r>
      <w:r w:rsidR="009454D5">
        <w:t>minimi</w:t>
      </w:r>
      <w:r w:rsidR="005D6F69">
        <w:t>z</w:t>
      </w:r>
      <w:r w:rsidR="009454D5">
        <w:t>e</w:t>
      </w:r>
      <w:r w:rsidR="0045492B">
        <w:t xml:space="preserve"> the</w:t>
      </w:r>
      <w:r w:rsidR="00CB5185">
        <w:t xml:space="preserve"> energy demand</w:t>
      </w:r>
      <w:r w:rsidR="00731E65">
        <w:t>,</w:t>
      </w:r>
      <w:r w:rsidR="00AA307C">
        <w:t xml:space="preserve"> </w:t>
      </w:r>
      <w:r w:rsidR="00FE7799">
        <w:t xml:space="preserve">waste generation </w:t>
      </w:r>
      <w:r w:rsidR="00B86175">
        <w:t>and carbon footprint</w:t>
      </w:r>
      <w:r w:rsidR="00AA307C">
        <w:t>.</w:t>
      </w:r>
      <w:r w:rsidR="0008540C">
        <w:t xml:space="preserve"> </w:t>
      </w:r>
      <w:r w:rsidR="004349E1">
        <w:t>Furthermore, w</w:t>
      </w:r>
      <w:r w:rsidR="008F0101">
        <w:t xml:space="preserve">e </w:t>
      </w:r>
      <w:r w:rsidR="00731E65">
        <w:t xml:space="preserve">considered </w:t>
      </w:r>
      <w:r w:rsidR="008F0101">
        <w:t>us</w:t>
      </w:r>
      <w:r w:rsidR="00731E65">
        <w:t>ing</w:t>
      </w:r>
      <w:r w:rsidR="008F0101">
        <w:t xml:space="preserve"> alternative </w:t>
      </w:r>
      <w:r w:rsidR="003053E4">
        <w:t>hydrogen</w:t>
      </w:r>
      <w:r w:rsidR="007078BF">
        <w:t xml:space="preserve"> sources</w:t>
      </w:r>
      <w:r w:rsidR="00100859">
        <w:t xml:space="preserve"> (i.e., green, </w:t>
      </w:r>
      <w:proofErr w:type="gramStart"/>
      <w:r w:rsidR="00100859">
        <w:t>blue</w:t>
      </w:r>
      <w:proofErr w:type="gramEnd"/>
      <w:r w:rsidR="00100859">
        <w:t xml:space="preserve"> and grey)</w:t>
      </w:r>
      <w:r w:rsidR="007078BF">
        <w:t>.</w:t>
      </w:r>
      <w:r w:rsidR="006F453E">
        <w:t xml:space="preserve"> The </w:t>
      </w:r>
      <w:r w:rsidR="00CA60AC">
        <w:t>TEA</w:t>
      </w:r>
      <w:r w:rsidR="006B752C">
        <w:t xml:space="preserve"> </w:t>
      </w:r>
      <w:r w:rsidR="006F453E">
        <w:t xml:space="preserve">shows </w:t>
      </w:r>
      <w:r w:rsidR="0025150E">
        <w:t xml:space="preserve">that </w:t>
      </w:r>
      <w:r w:rsidR="004D694A">
        <w:t xml:space="preserve">a profitable implementation of </w:t>
      </w:r>
      <w:r w:rsidR="00CA60AC">
        <w:t xml:space="preserve">the proposed </w:t>
      </w:r>
      <w:r w:rsidR="00A32DE0">
        <w:t>biorefinery</w:t>
      </w:r>
      <w:r w:rsidR="008F0101">
        <w:t xml:space="preserve"> is realistic</w:t>
      </w:r>
      <w:r w:rsidR="00A32DE0">
        <w:t>;</w:t>
      </w:r>
      <w:r w:rsidR="004D694A">
        <w:t xml:space="preserve"> however, the costs of</w:t>
      </w:r>
      <w:r w:rsidR="00370CE9">
        <w:t xml:space="preserve"> </w:t>
      </w:r>
      <w:r w:rsidR="004D694A">
        <w:t xml:space="preserve">utilities, </w:t>
      </w:r>
      <w:r w:rsidR="00F318AE">
        <w:t xml:space="preserve">raw materials and </w:t>
      </w:r>
      <w:r w:rsidR="008F0101">
        <w:t xml:space="preserve">source of </w:t>
      </w:r>
      <w:r w:rsidR="00F318AE">
        <w:t xml:space="preserve">hydrogen </w:t>
      </w:r>
      <w:r w:rsidR="0028596B">
        <w:t>deeply</w:t>
      </w:r>
      <w:r w:rsidR="00F318AE">
        <w:t xml:space="preserve"> affect the breakeven</w:t>
      </w:r>
      <w:r w:rsidR="00100859">
        <w:t xml:space="preserve"> point</w:t>
      </w:r>
      <w:r w:rsidR="00F318AE">
        <w:t xml:space="preserve"> and pay-back time.</w:t>
      </w:r>
    </w:p>
    <w:p w14:paraId="787397B9" w14:textId="5B7D7501" w:rsidR="006B752C" w:rsidRDefault="00495383" w:rsidP="006B752C">
      <w:pPr>
        <w:pStyle w:val="Els-1storder-head"/>
        <w:spacing w:after="120"/>
        <w:rPr>
          <w:lang w:val="en-GB"/>
        </w:rPr>
      </w:pPr>
      <w:r>
        <w:rPr>
          <w:lang w:val="en-GB"/>
        </w:rPr>
        <w:lastRenderedPageBreak/>
        <w:t>I</w:t>
      </w:r>
      <w:r w:rsidR="006B752C">
        <w:rPr>
          <w:lang w:val="en-GB"/>
        </w:rPr>
        <w:t xml:space="preserve">mprovements </w:t>
      </w:r>
      <w:r w:rsidR="00E7604F">
        <w:rPr>
          <w:lang w:val="en-GB"/>
        </w:rPr>
        <w:t>to</w:t>
      </w:r>
      <w:r w:rsidR="006B752C">
        <w:rPr>
          <w:lang w:val="en-GB"/>
        </w:rPr>
        <w:t xml:space="preserve"> </w:t>
      </w:r>
      <w:r w:rsidR="003053E4">
        <w:rPr>
          <w:lang w:val="en-GB"/>
        </w:rPr>
        <w:t xml:space="preserve">the </w:t>
      </w:r>
      <w:r w:rsidR="006B752C">
        <w:rPr>
          <w:lang w:val="en-GB"/>
        </w:rPr>
        <w:t>biorefinery bas</w:t>
      </w:r>
      <w:r w:rsidR="00100859">
        <w:rPr>
          <w:lang w:val="en-GB"/>
        </w:rPr>
        <w:t>eline</w:t>
      </w:r>
    </w:p>
    <w:p w14:paraId="361EC877" w14:textId="14242E1C" w:rsidR="00CA67E3" w:rsidRDefault="00101496" w:rsidP="0008540C">
      <w:pPr>
        <w:pStyle w:val="Els-body-text"/>
        <w:rPr>
          <w:lang w:val="en-GB"/>
        </w:rPr>
      </w:pPr>
      <w:r>
        <w:rPr>
          <w:lang w:val="en-GB"/>
        </w:rPr>
        <w:t>T</w:t>
      </w:r>
      <w:r w:rsidR="008768BE">
        <w:rPr>
          <w:lang w:val="en-GB"/>
        </w:rPr>
        <w:t xml:space="preserve">o improve the feasibility of the spruce-to-fuel </w:t>
      </w:r>
      <w:r w:rsidR="00DD007A">
        <w:rPr>
          <w:lang w:val="en-GB"/>
        </w:rPr>
        <w:t>biorefiner</w:t>
      </w:r>
      <w:r w:rsidR="0083452B">
        <w:rPr>
          <w:lang w:val="en-GB"/>
        </w:rPr>
        <w:t>y</w:t>
      </w:r>
      <w:r w:rsidR="002D6854">
        <w:rPr>
          <w:lang w:val="en-GB"/>
        </w:rPr>
        <w:t xml:space="preserve"> </w:t>
      </w:r>
      <w:r w:rsidR="00D3265F">
        <w:rPr>
          <w:lang w:val="en-GB"/>
        </w:rPr>
        <w:t xml:space="preserve">process </w:t>
      </w:r>
      <w:r w:rsidR="002D6854">
        <w:rPr>
          <w:lang w:val="en-GB"/>
        </w:rPr>
        <w:t>depicted in</w:t>
      </w:r>
      <w:r w:rsidR="0083452B">
        <w:rPr>
          <w:lang w:val="en-GB"/>
        </w:rPr>
        <w:t xml:space="preserve"> </w:t>
      </w:r>
      <w:r w:rsidR="00C126B8" w:rsidRPr="00F1063D">
        <w:rPr>
          <w:lang w:val="en-GB"/>
        </w:rPr>
        <w:fldChar w:fldCharType="begin"/>
      </w:r>
      <w:r w:rsidR="00C126B8" w:rsidRPr="00F1063D">
        <w:rPr>
          <w:lang w:val="en-GB"/>
        </w:rPr>
        <w:instrText xml:space="preserve"> REF _Ref149654826 \h </w:instrText>
      </w:r>
      <w:r w:rsidR="00F1063D" w:rsidRPr="00F1063D">
        <w:rPr>
          <w:lang w:val="en-GB"/>
        </w:rPr>
        <w:instrText xml:space="preserve"> \* MERGEFORMAT </w:instrText>
      </w:r>
      <w:r w:rsidR="00C126B8" w:rsidRPr="00F1063D">
        <w:rPr>
          <w:lang w:val="en-GB"/>
        </w:rPr>
      </w:r>
      <w:r w:rsidR="00C126B8" w:rsidRPr="00F1063D">
        <w:rPr>
          <w:lang w:val="en-GB"/>
        </w:rPr>
        <w:fldChar w:fldCharType="separate"/>
      </w:r>
      <w:r w:rsidR="00F962E1" w:rsidRPr="00F962E1">
        <w:t xml:space="preserve">Figure </w:t>
      </w:r>
      <w:r w:rsidR="00F962E1" w:rsidRPr="00F962E1">
        <w:rPr>
          <w:noProof/>
        </w:rPr>
        <w:t>1</w:t>
      </w:r>
      <w:r w:rsidR="00C126B8" w:rsidRPr="00F1063D">
        <w:rPr>
          <w:lang w:val="en-GB"/>
        </w:rPr>
        <w:fldChar w:fldCharType="end"/>
      </w:r>
      <w:r w:rsidR="00D3265F">
        <w:rPr>
          <w:lang w:val="en-GB"/>
        </w:rPr>
        <w:t xml:space="preserve">, </w:t>
      </w:r>
      <w:r w:rsidR="008768BE">
        <w:rPr>
          <w:lang w:val="en-GB"/>
        </w:rPr>
        <w:t xml:space="preserve">we </w:t>
      </w:r>
      <w:r w:rsidR="00AE216E">
        <w:rPr>
          <w:lang w:val="en-GB"/>
        </w:rPr>
        <w:t xml:space="preserve">introduced </w:t>
      </w:r>
      <w:r w:rsidR="0086192C">
        <w:rPr>
          <w:lang w:val="en-GB"/>
        </w:rPr>
        <w:t xml:space="preserve">the following improvements (also </w:t>
      </w:r>
      <w:r w:rsidR="00B773EC">
        <w:rPr>
          <w:lang w:val="en-GB"/>
        </w:rPr>
        <w:t xml:space="preserve">highlighted </w:t>
      </w:r>
      <w:r w:rsidR="00E66047">
        <w:rPr>
          <w:lang w:val="en-GB"/>
        </w:rPr>
        <w:t>in green</w:t>
      </w:r>
      <w:r w:rsidR="0086192C">
        <w:rPr>
          <w:lang w:val="en-GB"/>
        </w:rPr>
        <w:t xml:space="preserve"> in Figure 1)</w:t>
      </w:r>
      <w:r w:rsidR="0001402A">
        <w:rPr>
          <w:lang w:val="en-GB"/>
        </w:rPr>
        <w:t>.</w:t>
      </w:r>
    </w:p>
    <w:p w14:paraId="728964A4" w14:textId="77777777" w:rsidR="00CA67E3" w:rsidRPr="0017123C" w:rsidRDefault="00CA67E3" w:rsidP="0008540C">
      <w:pPr>
        <w:pStyle w:val="Els-body-text"/>
        <w:rPr>
          <w:sz w:val="6"/>
          <w:szCs w:val="6"/>
          <w:lang w:val="en-GB"/>
        </w:rPr>
      </w:pPr>
    </w:p>
    <w:p w14:paraId="1E0E68FA" w14:textId="03DADCB9" w:rsidR="00D439FE" w:rsidRDefault="0017123C" w:rsidP="00C4480F">
      <w:pPr>
        <w:pStyle w:val="Els-body-text"/>
        <w:keepNext/>
        <w:jc w:val="center"/>
      </w:pPr>
      <w:r>
        <w:rPr>
          <w:noProof/>
        </w:rPr>
        <w:drawing>
          <wp:inline distT="0" distB="0" distL="0" distR="0" wp14:anchorId="44810BA4" wp14:editId="468170BA">
            <wp:extent cx="4499610" cy="3698240"/>
            <wp:effectExtent l="0" t="0" r="0" b="0"/>
            <wp:docPr id="328521907" name="Picture 328521907"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21907" name="Picture 5" descr="A diagram of a proces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9610" cy="3698240"/>
                    </a:xfrm>
                    <a:prstGeom prst="rect">
                      <a:avLst/>
                    </a:prstGeom>
                    <a:noFill/>
                    <a:ln>
                      <a:noFill/>
                    </a:ln>
                  </pic:spPr>
                </pic:pic>
              </a:graphicData>
            </a:graphic>
          </wp:inline>
        </w:drawing>
      </w:r>
    </w:p>
    <w:p w14:paraId="6AA5F905" w14:textId="19BD88C3" w:rsidR="00F61457" w:rsidRDefault="00D439FE" w:rsidP="00D439FE">
      <w:pPr>
        <w:pStyle w:val="Caption"/>
        <w:jc w:val="both"/>
        <w:rPr>
          <w:lang w:val="en-GB"/>
        </w:rPr>
      </w:pPr>
      <w:bookmarkStart w:id="1" w:name="_Ref149654826"/>
      <w:r w:rsidRPr="001638BB">
        <w:rPr>
          <w:b/>
          <w:bCs/>
        </w:rPr>
        <w:t xml:space="preserve">Figure </w:t>
      </w:r>
      <w:r w:rsidRPr="001638BB">
        <w:rPr>
          <w:b/>
          <w:bCs/>
        </w:rPr>
        <w:fldChar w:fldCharType="begin"/>
      </w:r>
      <w:r w:rsidRPr="001638BB">
        <w:rPr>
          <w:b/>
          <w:bCs/>
        </w:rPr>
        <w:instrText xml:space="preserve"> SEQ Figure \* ARABIC </w:instrText>
      </w:r>
      <w:r w:rsidRPr="001638BB">
        <w:rPr>
          <w:b/>
          <w:bCs/>
        </w:rPr>
        <w:fldChar w:fldCharType="separate"/>
      </w:r>
      <w:r w:rsidR="00F962E1">
        <w:rPr>
          <w:b/>
          <w:bCs/>
          <w:noProof/>
        </w:rPr>
        <w:t>1</w:t>
      </w:r>
      <w:r w:rsidRPr="001638BB">
        <w:rPr>
          <w:b/>
          <w:bCs/>
        </w:rPr>
        <w:fldChar w:fldCharType="end"/>
      </w:r>
      <w:bookmarkEnd w:id="1"/>
      <w:r w:rsidR="00221418">
        <w:t>:</w:t>
      </w:r>
      <w:r>
        <w:t xml:space="preserve"> Biorefinery block flow diagram</w:t>
      </w:r>
      <w:r w:rsidR="00C549C8">
        <w:t xml:space="preserve"> (only main streams are reported)</w:t>
      </w:r>
      <w:r w:rsidR="005332F8">
        <w:t>.</w:t>
      </w:r>
      <w:r w:rsidR="00A96B4D">
        <w:t xml:space="preserve"> </w:t>
      </w:r>
    </w:p>
    <w:p w14:paraId="1EE1B4B3" w14:textId="4701D746" w:rsidR="00082D8C" w:rsidRDefault="007F2696" w:rsidP="0008540C">
      <w:pPr>
        <w:pStyle w:val="Els-body-text"/>
        <w:rPr>
          <w:lang w:val="en-GB"/>
        </w:rPr>
      </w:pPr>
      <w:r w:rsidRPr="000C2F46">
        <w:rPr>
          <w:b/>
          <w:bCs/>
          <w:i/>
          <w:iCs/>
          <w:u w:val="single"/>
          <w:lang w:val="en-GB"/>
        </w:rPr>
        <w:t>On-site enzyme production:</w:t>
      </w:r>
      <w:r>
        <w:rPr>
          <w:lang w:val="en-GB"/>
        </w:rPr>
        <w:t xml:space="preserve"> </w:t>
      </w:r>
      <w:r w:rsidR="00994FB5">
        <w:rPr>
          <w:lang w:val="en-GB"/>
        </w:rPr>
        <w:t>Since</w:t>
      </w:r>
      <w:r w:rsidR="008A19C8">
        <w:rPr>
          <w:lang w:val="en-GB"/>
        </w:rPr>
        <w:t xml:space="preserve"> </w:t>
      </w:r>
      <w:r w:rsidR="004F1560">
        <w:rPr>
          <w:lang w:val="en-GB"/>
        </w:rPr>
        <w:t>enzymes</w:t>
      </w:r>
      <w:r w:rsidR="00A52624">
        <w:rPr>
          <w:lang w:val="en-GB"/>
        </w:rPr>
        <w:t xml:space="preserve"> </w:t>
      </w:r>
      <w:r w:rsidR="002C4F47">
        <w:rPr>
          <w:lang w:val="en-GB"/>
        </w:rPr>
        <w:t>(</w:t>
      </w:r>
      <w:r w:rsidR="00AA5F8D">
        <w:rPr>
          <w:lang w:val="en-GB"/>
        </w:rPr>
        <w:t xml:space="preserve">when purchased </w:t>
      </w:r>
      <w:r w:rsidR="002C4F47">
        <w:rPr>
          <w:lang w:val="en-GB"/>
        </w:rPr>
        <w:t xml:space="preserve">from external producers) can </w:t>
      </w:r>
      <w:r w:rsidR="00992312">
        <w:rPr>
          <w:lang w:val="en-GB"/>
        </w:rPr>
        <w:t>make up about one</w:t>
      </w:r>
      <w:r w:rsidR="0089684C">
        <w:rPr>
          <w:lang w:val="en-GB"/>
        </w:rPr>
        <w:t>-</w:t>
      </w:r>
      <w:r w:rsidR="00992312">
        <w:rPr>
          <w:lang w:val="en-GB"/>
        </w:rPr>
        <w:t xml:space="preserve">third of the total operating costs, </w:t>
      </w:r>
      <w:r w:rsidR="00A868E7">
        <w:rPr>
          <w:lang w:val="en-GB"/>
        </w:rPr>
        <w:t xml:space="preserve">we included enzyme </w:t>
      </w:r>
      <w:r w:rsidR="0049398B">
        <w:rPr>
          <w:lang w:val="en-GB"/>
        </w:rPr>
        <w:t>produc</w:t>
      </w:r>
      <w:r w:rsidR="00260CEC">
        <w:rPr>
          <w:lang w:val="en-GB"/>
        </w:rPr>
        <w:t>tion</w:t>
      </w:r>
      <w:r w:rsidR="0049398B">
        <w:rPr>
          <w:lang w:val="en-GB"/>
        </w:rPr>
        <w:t xml:space="preserve"> on</w:t>
      </w:r>
      <w:r w:rsidR="00123168">
        <w:rPr>
          <w:lang w:val="en-GB"/>
        </w:rPr>
        <w:t>-</w:t>
      </w:r>
      <w:r w:rsidR="0049398B">
        <w:rPr>
          <w:lang w:val="en-GB"/>
        </w:rPr>
        <w:t>site</w:t>
      </w:r>
      <w:r w:rsidR="008A19C8">
        <w:rPr>
          <w:lang w:val="en-GB"/>
        </w:rPr>
        <w:t xml:space="preserve"> </w:t>
      </w:r>
      <w:r w:rsidR="00947A8B">
        <w:rPr>
          <w:lang w:val="en-GB"/>
        </w:rPr>
        <w:t>based</w:t>
      </w:r>
      <w:r w:rsidR="000D1E6C">
        <w:rPr>
          <w:lang w:val="en-GB"/>
        </w:rPr>
        <w:t xml:space="preserve"> </w:t>
      </w:r>
      <w:r w:rsidR="00947A8B">
        <w:rPr>
          <w:lang w:val="en-GB"/>
        </w:rPr>
        <w:t>o</w:t>
      </w:r>
      <w:r w:rsidR="000D1E6C">
        <w:rPr>
          <w:lang w:val="en-GB"/>
        </w:rPr>
        <w:t xml:space="preserve">n the </w:t>
      </w:r>
      <w:r w:rsidR="001860C1">
        <w:rPr>
          <w:lang w:val="en-GB"/>
        </w:rPr>
        <w:t xml:space="preserve">setup </w:t>
      </w:r>
      <w:r w:rsidR="00CE772C">
        <w:rPr>
          <w:lang w:val="en-GB"/>
        </w:rPr>
        <w:t>by</w:t>
      </w:r>
      <w:r w:rsidR="00761162">
        <w:rPr>
          <w:lang w:val="en-GB"/>
        </w:rPr>
        <w:t xml:space="preserve"> Humbird et al</w:t>
      </w:r>
      <w:r w:rsidR="003E710E">
        <w:rPr>
          <w:lang w:val="en-GB"/>
        </w:rPr>
        <w:t>.</w:t>
      </w:r>
      <w:r w:rsidR="00CE772C">
        <w:rPr>
          <w:lang w:val="en-GB"/>
        </w:rPr>
        <w:t xml:space="preserve"> (</w:t>
      </w:r>
      <w:r w:rsidR="00761162">
        <w:rPr>
          <w:lang w:val="en-GB"/>
        </w:rPr>
        <w:t>201</w:t>
      </w:r>
      <w:r w:rsidR="00E81911">
        <w:rPr>
          <w:lang w:val="en-GB"/>
        </w:rPr>
        <w:t>1</w:t>
      </w:r>
      <w:r w:rsidR="00761162">
        <w:rPr>
          <w:lang w:val="en-GB"/>
        </w:rPr>
        <w:t>)</w:t>
      </w:r>
      <w:r w:rsidR="00A65169">
        <w:rPr>
          <w:lang w:val="en-GB"/>
        </w:rPr>
        <w:t xml:space="preserve"> </w:t>
      </w:r>
      <w:r w:rsidR="00491E03" w:rsidRPr="00491E03">
        <w:rPr>
          <w:lang w:val="en-GB"/>
        </w:rPr>
        <w:t>us</w:t>
      </w:r>
      <w:r w:rsidR="00E053CC">
        <w:rPr>
          <w:lang w:val="en-GB"/>
        </w:rPr>
        <w:t>ing</w:t>
      </w:r>
      <w:r w:rsidR="00491E03" w:rsidRPr="00491E03">
        <w:rPr>
          <w:lang w:val="en-GB"/>
        </w:rPr>
        <w:t xml:space="preserve"> cheap raw materials</w:t>
      </w:r>
      <w:r w:rsidR="00BF6619">
        <w:rPr>
          <w:lang w:val="en-GB"/>
        </w:rPr>
        <w:t>,</w:t>
      </w:r>
      <w:r w:rsidR="00491E03" w:rsidRPr="00491E03">
        <w:rPr>
          <w:lang w:val="en-GB"/>
        </w:rPr>
        <w:t xml:space="preserve"> </w:t>
      </w:r>
      <w:r w:rsidR="00E81911">
        <w:rPr>
          <w:lang w:val="en-GB"/>
        </w:rPr>
        <w:t xml:space="preserve">e.g., </w:t>
      </w:r>
      <w:r w:rsidR="00A65169" w:rsidRPr="00A65169">
        <w:rPr>
          <w:lang w:val="en-GB"/>
        </w:rPr>
        <w:t>corn steep liquor (CSL, C-source)</w:t>
      </w:r>
      <w:r w:rsidR="00F162AD">
        <w:rPr>
          <w:lang w:val="en-GB"/>
        </w:rPr>
        <w:t xml:space="preserve">, </w:t>
      </w:r>
      <w:r w:rsidR="00491E03" w:rsidRPr="00491E03">
        <w:rPr>
          <w:lang w:val="en-GB"/>
        </w:rPr>
        <w:t>ammonia (N-source)</w:t>
      </w:r>
      <w:r w:rsidR="00BF6619">
        <w:rPr>
          <w:lang w:val="en-GB"/>
        </w:rPr>
        <w:t>,</w:t>
      </w:r>
      <w:r w:rsidR="005C56AE">
        <w:rPr>
          <w:lang w:val="en-GB"/>
        </w:rPr>
        <w:t xml:space="preserve"> SO</w:t>
      </w:r>
      <w:r w:rsidR="005C56AE" w:rsidRPr="005C56AE">
        <w:rPr>
          <w:vertAlign w:val="subscript"/>
          <w:lang w:val="en-GB"/>
        </w:rPr>
        <w:t>2</w:t>
      </w:r>
      <w:r w:rsidR="005C56AE">
        <w:rPr>
          <w:lang w:val="en-GB"/>
        </w:rPr>
        <w:t xml:space="preserve"> (S-source)</w:t>
      </w:r>
      <w:r w:rsidR="000B4125">
        <w:rPr>
          <w:lang w:val="en-GB"/>
        </w:rPr>
        <w:t>,</w:t>
      </w:r>
      <w:r w:rsidR="00491E03" w:rsidRPr="00491E03">
        <w:rPr>
          <w:lang w:val="en-GB"/>
        </w:rPr>
        <w:t xml:space="preserve"> and</w:t>
      </w:r>
      <w:r w:rsidR="00A65169">
        <w:rPr>
          <w:lang w:val="en-GB"/>
        </w:rPr>
        <w:t xml:space="preserve"> </w:t>
      </w:r>
      <w:r w:rsidR="00BF6619">
        <w:rPr>
          <w:lang w:val="en-GB"/>
        </w:rPr>
        <w:t xml:space="preserve">a </w:t>
      </w:r>
      <w:r w:rsidR="00A65169" w:rsidRPr="00A65169">
        <w:rPr>
          <w:lang w:val="en-GB"/>
        </w:rPr>
        <w:t>cellulase</w:t>
      </w:r>
      <w:r w:rsidR="007B69D1">
        <w:rPr>
          <w:lang w:val="en-GB"/>
        </w:rPr>
        <w:t>-producing</w:t>
      </w:r>
      <w:r w:rsidR="00A65169" w:rsidRPr="00A65169">
        <w:rPr>
          <w:lang w:val="en-GB"/>
        </w:rPr>
        <w:t xml:space="preserve"> </w:t>
      </w:r>
      <w:r w:rsidR="00F76709">
        <w:rPr>
          <w:lang w:val="en-GB"/>
        </w:rPr>
        <w:t>strain</w:t>
      </w:r>
      <w:r w:rsidR="00491E03" w:rsidRPr="00491E03">
        <w:rPr>
          <w:lang w:val="en-GB"/>
        </w:rPr>
        <w:t>.</w:t>
      </w:r>
    </w:p>
    <w:p w14:paraId="259C4BA5" w14:textId="261389D3" w:rsidR="004840F6" w:rsidRDefault="002E2304" w:rsidP="0008540C">
      <w:pPr>
        <w:pStyle w:val="Els-body-text"/>
        <w:rPr>
          <w:lang w:val="en-GB"/>
        </w:rPr>
      </w:pPr>
      <w:r>
        <w:rPr>
          <w:b/>
          <w:bCs/>
          <w:i/>
          <w:iCs/>
          <w:u w:val="single"/>
          <w:lang w:val="en-GB"/>
        </w:rPr>
        <w:t>F</w:t>
      </w:r>
      <w:r w:rsidR="00A96B4D" w:rsidRPr="000C2F46">
        <w:rPr>
          <w:b/>
          <w:bCs/>
          <w:i/>
          <w:iCs/>
          <w:u w:val="single"/>
          <w:lang w:val="en-GB"/>
        </w:rPr>
        <w:t>ermentation</w:t>
      </w:r>
      <w:r w:rsidR="0027783D" w:rsidRPr="000C2F46">
        <w:rPr>
          <w:b/>
          <w:bCs/>
          <w:i/>
          <w:iCs/>
          <w:u w:val="single"/>
          <w:lang w:val="en-GB"/>
        </w:rPr>
        <w:t>:</w:t>
      </w:r>
      <w:r w:rsidR="0027783D" w:rsidRPr="0027783D">
        <w:rPr>
          <w:lang w:val="en-GB"/>
        </w:rPr>
        <w:t xml:space="preserve"> Regarding </w:t>
      </w:r>
      <w:r w:rsidR="00F76709">
        <w:rPr>
          <w:lang w:val="en-GB"/>
        </w:rPr>
        <w:t>bio</w:t>
      </w:r>
      <w:r w:rsidR="0027783D" w:rsidRPr="0027783D">
        <w:rPr>
          <w:lang w:val="en-GB"/>
        </w:rPr>
        <w:t>ethanol production</w:t>
      </w:r>
      <w:r w:rsidR="00E72EDC">
        <w:rPr>
          <w:lang w:val="en-GB"/>
        </w:rPr>
        <w:t>,</w:t>
      </w:r>
      <w:r w:rsidR="00A96B4D">
        <w:rPr>
          <w:lang w:val="en-GB"/>
        </w:rPr>
        <w:t xml:space="preserve"> the </w:t>
      </w:r>
      <w:r w:rsidR="00A61EEB">
        <w:rPr>
          <w:lang w:val="en-GB"/>
        </w:rPr>
        <w:t>ferment</w:t>
      </w:r>
      <w:r w:rsidR="0038580F">
        <w:rPr>
          <w:lang w:val="en-GB"/>
        </w:rPr>
        <w:t>ing strain</w:t>
      </w:r>
      <w:r w:rsidR="00A96B4D">
        <w:rPr>
          <w:lang w:val="en-GB"/>
        </w:rPr>
        <w:t xml:space="preserve"> </w:t>
      </w:r>
      <w:r w:rsidR="007B69D1">
        <w:rPr>
          <w:lang w:val="en-GB"/>
        </w:rPr>
        <w:t>was</w:t>
      </w:r>
      <w:r w:rsidR="00A96B4D">
        <w:rPr>
          <w:lang w:val="en-GB"/>
        </w:rPr>
        <w:t xml:space="preserve"> added </w:t>
      </w:r>
      <w:r w:rsidR="000E08EA">
        <w:rPr>
          <w:lang w:val="en-GB"/>
        </w:rPr>
        <w:t xml:space="preserve">together </w:t>
      </w:r>
      <w:r w:rsidR="00D25E03">
        <w:rPr>
          <w:lang w:val="en-GB"/>
        </w:rPr>
        <w:t xml:space="preserve">in </w:t>
      </w:r>
      <w:r w:rsidR="00A61EEB">
        <w:rPr>
          <w:lang w:val="en-GB"/>
        </w:rPr>
        <w:t>solution</w:t>
      </w:r>
      <w:r w:rsidR="00D25E03">
        <w:rPr>
          <w:lang w:val="en-GB"/>
        </w:rPr>
        <w:t xml:space="preserve"> with </w:t>
      </w:r>
      <w:r w:rsidR="00F76709">
        <w:rPr>
          <w:lang w:val="en-GB"/>
        </w:rPr>
        <w:t>corn steep liquor (</w:t>
      </w:r>
      <w:r w:rsidR="00A96B4D">
        <w:rPr>
          <w:lang w:val="en-GB"/>
        </w:rPr>
        <w:t>C</w:t>
      </w:r>
      <w:r w:rsidR="00A30C4B">
        <w:rPr>
          <w:lang w:val="en-GB"/>
        </w:rPr>
        <w:t>S</w:t>
      </w:r>
      <w:r w:rsidR="00A96B4D">
        <w:rPr>
          <w:lang w:val="en-GB"/>
        </w:rPr>
        <w:t>L</w:t>
      </w:r>
      <w:r w:rsidR="00F76709">
        <w:rPr>
          <w:lang w:val="en-GB"/>
        </w:rPr>
        <w:t>)</w:t>
      </w:r>
      <w:r w:rsidR="000C2489">
        <w:rPr>
          <w:lang w:val="en-GB"/>
        </w:rPr>
        <w:t xml:space="preserve"> and</w:t>
      </w:r>
      <w:r w:rsidR="005C56AE">
        <w:rPr>
          <w:lang w:val="en-GB"/>
        </w:rPr>
        <w:t xml:space="preserve"> diammonium phosphate</w:t>
      </w:r>
      <w:r w:rsidR="000C2489">
        <w:rPr>
          <w:lang w:val="en-GB"/>
        </w:rPr>
        <w:t xml:space="preserve"> </w:t>
      </w:r>
      <w:r w:rsidR="005C56AE">
        <w:rPr>
          <w:lang w:val="en-GB"/>
        </w:rPr>
        <w:t>(</w:t>
      </w:r>
      <w:r w:rsidR="00E72EDC">
        <w:rPr>
          <w:lang w:val="en-GB"/>
        </w:rPr>
        <w:t>DAP)</w:t>
      </w:r>
      <w:r w:rsidR="00D56E89">
        <w:rPr>
          <w:lang w:val="en-GB"/>
        </w:rPr>
        <w:t xml:space="preserve"> as suggested by Humbird</w:t>
      </w:r>
      <w:r w:rsidR="007706EB">
        <w:rPr>
          <w:lang w:val="en-GB"/>
        </w:rPr>
        <w:t xml:space="preserve"> et al.</w:t>
      </w:r>
      <w:r w:rsidR="00D56E89">
        <w:rPr>
          <w:lang w:val="en-GB"/>
        </w:rPr>
        <w:t xml:space="preserve"> (2011)</w:t>
      </w:r>
      <w:r w:rsidR="00E72EDC">
        <w:rPr>
          <w:lang w:val="en-GB"/>
        </w:rPr>
        <w:t>.</w:t>
      </w:r>
    </w:p>
    <w:p w14:paraId="4F0E738C" w14:textId="65E8056D" w:rsidR="006B752C" w:rsidRPr="006B752C" w:rsidRDefault="00876662" w:rsidP="0008540C">
      <w:pPr>
        <w:pStyle w:val="Els-body-text"/>
        <w:rPr>
          <w:lang w:val="en-GB"/>
        </w:rPr>
      </w:pPr>
      <w:r w:rsidRPr="000C2F46">
        <w:rPr>
          <w:b/>
          <w:bCs/>
          <w:i/>
          <w:iCs/>
          <w:u w:val="single"/>
          <w:lang w:val="en-GB"/>
        </w:rPr>
        <w:t>Heat integration:</w:t>
      </w:r>
      <w:r w:rsidR="00E72EDC">
        <w:rPr>
          <w:lang w:val="en-GB"/>
        </w:rPr>
        <w:t xml:space="preserve"> </w:t>
      </w:r>
      <w:r w:rsidR="008C6E45">
        <w:rPr>
          <w:lang w:val="en-GB"/>
        </w:rPr>
        <w:t>B</w:t>
      </w:r>
      <w:r w:rsidR="00E94310">
        <w:rPr>
          <w:lang w:val="en-GB"/>
        </w:rPr>
        <w:t>iochar</w:t>
      </w:r>
      <w:r w:rsidR="00065077">
        <w:rPr>
          <w:lang w:val="en-GB"/>
        </w:rPr>
        <w:t>, the</w:t>
      </w:r>
      <w:r w:rsidR="00E94310">
        <w:rPr>
          <w:lang w:val="en-GB"/>
        </w:rPr>
        <w:t xml:space="preserve"> side product of pyrolysis</w:t>
      </w:r>
      <w:r w:rsidR="00A30C4B">
        <w:rPr>
          <w:lang w:val="en-GB"/>
        </w:rPr>
        <w:t>,</w:t>
      </w:r>
      <w:r w:rsidR="00947A8B">
        <w:rPr>
          <w:lang w:val="en-GB"/>
        </w:rPr>
        <w:t xml:space="preserve"> </w:t>
      </w:r>
      <w:r w:rsidR="00E94310">
        <w:rPr>
          <w:lang w:val="en-GB"/>
        </w:rPr>
        <w:t xml:space="preserve">has </w:t>
      </w:r>
      <w:r w:rsidR="00E54492">
        <w:rPr>
          <w:lang w:val="en-GB"/>
        </w:rPr>
        <w:t>many</w:t>
      </w:r>
      <w:r w:rsidR="00570ECE">
        <w:rPr>
          <w:lang w:val="en-GB"/>
        </w:rPr>
        <w:t xml:space="preserve"> potential </w:t>
      </w:r>
      <w:r w:rsidR="00E94310">
        <w:rPr>
          <w:lang w:val="en-GB"/>
        </w:rPr>
        <w:t>application</w:t>
      </w:r>
      <w:r w:rsidR="00661A6C">
        <w:rPr>
          <w:lang w:val="en-GB"/>
        </w:rPr>
        <w:t>s</w:t>
      </w:r>
      <w:r w:rsidR="008257DC">
        <w:rPr>
          <w:lang w:val="en-GB"/>
        </w:rPr>
        <w:t xml:space="preserve">. </w:t>
      </w:r>
      <w:r w:rsidR="00E54492" w:rsidRPr="00F76709">
        <w:rPr>
          <w:lang w:val="en-GB"/>
        </w:rPr>
        <w:t>As</w:t>
      </w:r>
      <w:r w:rsidR="00065077" w:rsidRPr="00F76709">
        <w:rPr>
          <w:lang w:val="en-GB"/>
        </w:rPr>
        <w:t xml:space="preserve"> </w:t>
      </w:r>
      <w:r w:rsidR="00570ECE" w:rsidRPr="00F76709">
        <w:rPr>
          <w:lang w:val="en-GB"/>
        </w:rPr>
        <w:t xml:space="preserve">the </w:t>
      </w:r>
      <w:r w:rsidR="008257DC" w:rsidRPr="00F76709">
        <w:rPr>
          <w:lang w:val="en-GB"/>
        </w:rPr>
        <w:t xml:space="preserve">market is not stable, we </w:t>
      </w:r>
      <w:r w:rsidR="00E95558" w:rsidRPr="00F76709">
        <w:rPr>
          <w:lang w:val="en-GB"/>
        </w:rPr>
        <w:t xml:space="preserve">chose </w:t>
      </w:r>
      <w:r w:rsidR="008257DC" w:rsidRPr="00F76709">
        <w:rPr>
          <w:lang w:val="en-GB"/>
        </w:rPr>
        <w:t xml:space="preserve">to </w:t>
      </w:r>
      <w:r w:rsidR="00E95558" w:rsidRPr="00F76709">
        <w:rPr>
          <w:lang w:val="en-GB"/>
        </w:rPr>
        <w:t xml:space="preserve">recover its </w:t>
      </w:r>
      <w:r w:rsidR="008257DC" w:rsidRPr="00F76709">
        <w:rPr>
          <w:lang w:val="en-GB"/>
        </w:rPr>
        <w:t xml:space="preserve">high </w:t>
      </w:r>
      <w:r w:rsidR="00671B06" w:rsidRPr="00F76709">
        <w:rPr>
          <w:lang w:val="en-GB"/>
        </w:rPr>
        <w:t>heating value</w:t>
      </w:r>
      <w:r w:rsidR="00E95558" w:rsidRPr="00F76709">
        <w:rPr>
          <w:lang w:val="en-GB"/>
        </w:rPr>
        <w:t xml:space="preserve"> by burning it</w:t>
      </w:r>
      <w:r w:rsidR="008257DC" w:rsidRPr="00F76709">
        <w:rPr>
          <w:lang w:val="en-GB"/>
        </w:rPr>
        <w:t xml:space="preserve">. </w:t>
      </w:r>
      <w:r w:rsidR="00586DC0" w:rsidRPr="00F76709">
        <w:rPr>
          <w:lang w:val="en-GB"/>
        </w:rPr>
        <w:t>W</w:t>
      </w:r>
      <w:r w:rsidR="00AA14B9" w:rsidRPr="00F76709">
        <w:rPr>
          <w:lang w:val="en-GB"/>
        </w:rPr>
        <w:t xml:space="preserve">e </w:t>
      </w:r>
      <w:r w:rsidR="004B173C" w:rsidRPr="00F76709">
        <w:rPr>
          <w:lang w:val="en-GB"/>
        </w:rPr>
        <w:t>compared</w:t>
      </w:r>
      <w:r w:rsidR="00DB1103" w:rsidRPr="00F76709">
        <w:rPr>
          <w:lang w:val="en-GB"/>
        </w:rPr>
        <w:t xml:space="preserve"> </w:t>
      </w:r>
      <w:proofErr w:type="gramStart"/>
      <w:r w:rsidR="00AA14B9" w:rsidRPr="00F76709">
        <w:rPr>
          <w:lang w:val="en-GB"/>
        </w:rPr>
        <w:t>o</w:t>
      </w:r>
      <w:r w:rsidR="00B54F88" w:rsidRPr="00F76709">
        <w:rPr>
          <w:lang w:val="en-GB"/>
        </w:rPr>
        <w:t>xy-combustion</w:t>
      </w:r>
      <w:proofErr w:type="gramEnd"/>
      <w:r w:rsidR="00D8633C" w:rsidRPr="00F76709">
        <w:rPr>
          <w:lang w:val="en-GB"/>
        </w:rPr>
        <w:t xml:space="preserve">, </w:t>
      </w:r>
      <w:r w:rsidR="00AA14B9" w:rsidRPr="00F76709">
        <w:rPr>
          <w:lang w:val="en-GB"/>
        </w:rPr>
        <w:t xml:space="preserve">which requires pure </w:t>
      </w:r>
      <w:r w:rsidR="00D8633C" w:rsidRPr="00F76709">
        <w:rPr>
          <w:lang w:val="en-GB"/>
        </w:rPr>
        <w:t>oxygen</w:t>
      </w:r>
      <w:r w:rsidR="003F0C98" w:rsidRPr="00F76709">
        <w:rPr>
          <w:lang w:val="en-GB"/>
        </w:rPr>
        <w:t>,</w:t>
      </w:r>
      <w:r w:rsidR="004B173C" w:rsidRPr="00F76709">
        <w:rPr>
          <w:lang w:val="en-GB"/>
        </w:rPr>
        <w:t xml:space="preserve"> and </w:t>
      </w:r>
      <w:r w:rsidR="00D52881" w:rsidRPr="00F76709">
        <w:rPr>
          <w:lang w:val="en-GB"/>
        </w:rPr>
        <w:t xml:space="preserve">air combustion </w:t>
      </w:r>
      <w:r w:rsidR="004B173C" w:rsidRPr="00F76709">
        <w:rPr>
          <w:lang w:val="en-GB"/>
        </w:rPr>
        <w:t>as</w:t>
      </w:r>
      <w:r w:rsidR="00D52881" w:rsidRPr="00F76709">
        <w:rPr>
          <w:lang w:val="en-GB"/>
        </w:rPr>
        <w:t xml:space="preserve"> alternative</w:t>
      </w:r>
      <w:r w:rsidR="004B173C" w:rsidRPr="00F76709">
        <w:rPr>
          <w:lang w:val="en-GB"/>
        </w:rPr>
        <w:t>s</w:t>
      </w:r>
      <w:r w:rsidR="00D52881" w:rsidRPr="00F76709">
        <w:rPr>
          <w:lang w:val="en-GB"/>
        </w:rPr>
        <w:t xml:space="preserve">. </w:t>
      </w:r>
      <w:r w:rsidR="00B30B14" w:rsidRPr="00F76709">
        <w:rPr>
          <w:lang w:val="en-GB"/>
        </w:rPr>
        <w:t xml:space="preserve">For the </w:t>
      </w:r>
      <w:proofErr w:type="gramStart"/>
      <w:r w:rsidR="00B30B14" w:rsidRPr="00F76709">
        <w:rPr>
          <w:lang w:val="en-GB"/>
        </w:rPr>
        <w:t>oxy-combustion</w:t>
      </w:r>
      <w:proofErr w:type="gramEnd"/>
      <w:r w:rsidR="00B30B14" w:rsidRPr="00F76709">
        <w:rPr>
          <w:lang w:val="en-GB"/>
        </w:rPr>
        <w:t>, we adjusted the CO</w:t>
      </w:r>
      <w:r w:rsidR="00B30B14" w:rsidRPr="00F76709">
        <w:rPr>
          <w:vertAlign w:val="subscript"/>
          <w:lang w:val="en-GB"/>
        </w:rPr>
        <w:t>2</w:t>
      </w:r>
      <w:r w:rsidR="00B30B14" w:rsidRPr="00F76709">
        <w:rPr>
          <w:lang w:val="en-GB"/>
        </w:rPr>
        <w:t xml:space="preserve"> recycle to achieve the</w:t>
      </w:r>
      <w:r w:rsidR="007F6070" w:rsidRPr="00F76709">
        <w:rPr>
          <w:lang w:val="en-GB"/>
        </w:rPr>
        <w:t xml:space="preserve"> desired</w:t>
      </w:r>
      <w:r w:rsidR="00B30B14" w:rsidRPr="00F76709">
        <w:rPr>
          <w:lang w:val="en-GB"/>
        </w:rPr>
        <w:t xml:space="preserve"> flame temperature (1100°C)</w:t>
      </w:r>
      <w:r w:rsidR="0065497E" w:rsidRPr="00F76709">
        <w:rPr>
          <w:lang w:val="en-GB"/>
        </w:rPr>
        <w:t>.</w:t>
      </w:r>
      <w:r w:rsidR="00B30B14" w:rsidRPr="00F76709">
        <w:rPr>
          <w:lang w:val="en-GB"/>
        </w:rPr>
        <w:t xml:space="preserve"> </w:t>
      </w:r>
      <w:r w:rsidR="00376E21" w:rsidRPr="00F76709">
        <w:rPr>
          <w:lang w:val="en-GB"/>
        </w:rPr>
        <w:t>To</w:t>
      </w:r>
      <w:r w:rsidR="00B30B14" w:rsidRPr="00F76709">
        <w:rPr>
          <w:lang w:val="en-GB"/>
        </w:rPr>
        <w:t xml:space="preserve"> achieve the same temperature in the air combustion,</w:t>
      </w:r>
      <w:r w:rsidR="004639F5" w:rsidRPr="00F76709">
        <w:rPr>
          <w:lang w:val="en-GB"/>
        </w:rPr>
        <w:t xml:space="preserve"> </w:t>
      </w:r>
      <w:r w:rsidR="00B30B14" w:rsidRPr="00F76709">
        <w:rPr>
          <w:lang w:val="en-GB"/>
        </w:rPr>
        <w:t xml:space="preserve">we regulated the </w:t>
      </w:r>
      <w:r w:rsidR="0065497E" w:rsidRPr="00F76709">
        <w:rPr>
          <w:lang w:val="en-GB"/>
        </w:rPr>
        <w:t>airflow</w:t>
      </w:r>
      <w:r w:rsidR="00B30B14" w:rsidRPr="00F76709">
        <w:rPr>
          <w:lang w:val="en-GB"/>
        </w:rPr>
        <w:t xml:space="preserve"> to the combustor. T</w:t>
      </w:r>
      <w:r w:rsidR="007B3963" w:rsidRPr="00F76709">
        <w:rPr>
          <w:lang w:val="en-GB"/>
        </w:rPr>
        <w:t xml:space="preserve">he resulting </w:t>
      </w:r>
      <w:r w:rsidR="00DC28FF" w:rsidRPr="00F76709">
        <w:rPr>
          <w:lang w:val="en-GB"/>
        </w:rPr>
        <w:t>hot flue gas</w:t>
      </w:r>
      <w:r w:rsidR="00B30B14" w:rsidRPr="00F76709">
        <w:rPr>
          <w:lang w:val="en-GB"/>
        </w:rPr>
        <w:t xml:space="preserve"> </w:t>
      </w:r>
      <w:r w:rsidR="00DC28FF" w:rsidRPr="00F76709">
        <w:rPr>
          <w:lang w:val="en-GB"/>
        </w:rPr>
        <w:t xml:space="preserve">supplies </w:t>
      </w:r>
      <w:r w:rsidR="007B3963" w:rsidRPr="00F76709">
        <w:rPr>
          <w:lang w:val="en-GB"/>
        </w:rPr>
        <w:t>thermal heat for the pyrolysis reactions</w:t>
      </w:r>
      <w:r w:rsidR="00DE69C2" w:rsidRPr="00F76709">
        <w:rPr>
          <w:lang w:val="en-GB"/>
        </w:rPr>
        <w:t xml:space="preserve"> and, subsequently</w:t>
      </w:r>
      <w:r w:rsidR="0032165B" w:rsidRPr="00F76709">
        <w:rPr>
          <w:lang w:val="en-GB"/>
        </w:rPr>
        <w:t>,</w:t>
      </w:r>
      <w:r w:rsidR="007B3963" w:rsidRPr="00F76709">
        <w:rPr>
          <w:lang w:val="en-GB"/>
        </w:rPr>
        <w:t xml:space="preserve"> to a steam generation unit. </w:t>
      </w:r>
      <w:r w:rsidR="0032165B" w:rsidRPr="00F76709">
        <w:rPr>
          <w:lang w:val="en-GB"/>
        </w:rPr>
        <w:t>This unit</w:t>
      </w:r>
      <w:r w:rsidR="006E3F56" w:rsidRPr="00F76709">
        <w:rPr>
          <w:lang w:val="en-GB"/>
        </w:rPr>
        <w:t xml:space="preserve"> generate</w:t>
      </w:r>
      <w:r w:rsidR="0032165B" w:rsidRPr="00F76709">
        <w:rPr>
          <w:lang w:val="en-GB"/>
        </w:rPr>
        <w:t>s</w:t>
      </w:r>
      <w:r w:rsidR="006E3F56" w:rsidRPr="00F76709">
        <w:rPr>
          <w:lang w:val="en-GB"/>
        </w:rPr>
        <w:t xml:space="preserve"> steam by</w:t>
      </w:r>
      <w:r w:rsidR="00701479" w:rsidRPr="00F76709">
        <w:rPr>
          <w:lang w:val="en-GB"/>
        </w:rPr>
        <w:t xml:space="preserve"> burn</w:t>
      </w:r>
      <w:r w:rsidR="006E3F56" w:rsidRPr="00F76709">
        <w:rPr>
          <w:lang w:val="en-GB"/>
        </w:rPr>
        <w:t>ing</w:t>
      </w:r>
      <w:r w:rsidR="00701479" w:rsidRPr="00F76709">
        <w:rPr>
          <w:lang w:val="en-GB"/>
        </w:rPr>
        <w:t xml:space="preserve"> </w:t>
      </w:r>
      <w:r w:rsidR="00E9197D" w:rsidRPr="00F76709">
        <w:rPr>
          <w:lang w:val="en-GB"/>
        </w:rPr>
        <w:t xml:space="preserve">the </w:t>
      </w:r>
      <w:r w:rsidR="00C71CDC" w:rsidRPr="00F76709">
        <w:rPr>
          <w:lang w:val="en-GB"/>
        </w:rPr>
        <w:t xml:space="preserve">light </w:t>
      </w:r>
      <w:r w:rsidR="00E9197D" w:rsidRPr="00F76709">
        <w:rPr>
          <w:lang w:val="en-GB"/>
        </w:rPr>
        <w:t xml:space="preserve">tail gas recovered from the top of the </w:t>
      </w:r>
      <w:r w:rsidR="00AF5802" w:rsidRPr="00F76709">
        <w:rPr>
          <w:lang w:val="en-GB"/>
        </w:rPr>
        <w:t>distillation column fractionat</w:t>
      </w:r>
      <w:r w:rsidR="001C0878" w:rsidRPr="00F76709">
        <w:rPr>
          <w:lang w:val="en-GB"/>
        </w:rPr>
        <w:t>ing the</w:t>
      </w:r>
      <w:r w:rsidR="00AF5802" w:rsidRPr="00F76709">
        <w:rPr>
          <w:lang w:val="en-GB"/>
        </w:rPr>
        <w:t xml:space="preserve"> </w:t>
      </w:r>
      <w:r w:rsidR="00E9197D" w:rsidRPr="00F76709">
        <w:rPr>
          <w:lang w:val="en-GB"/>
        </w:rPr>
        <w:t xml:space="preserve">upgraded crude </w:t>
      </w:r>
      <w:r w:rsidR="009C7053" w:rsidRPr="00F76709">
        <w:rPr>
          <w:lang w:val="en-GB"/>
        </w:rPr>
        <w:t>bio-</w:t>
      </w:r>
      <w:r w:rsidR="00E9197D" w:rsidRPr="00F76709">
        <w:rPr>
          <w:lang w:val="en-GB"/>
        </w:rPr>
        <w:t>oil</w:t>
      </w:r>
      <w:r w:rsidR="001E6C72" w:rsidRPr="00F76709">
        <w:rPr>
          <w:lang w:val="en-GB"/>
        </w:rPr>
        <w:t xml:space="preserve">. The </w:t>
      </w:r>
      <w:r w:rsidR="007F5CEC" w:rsidRPr="00F76709">
        <w:rPr>
          <w:lang w:val="en-GB"/>
        </w:rPr>
        <w:t xml:space="preserve">total </w:t>
      </w:r>
      <w:r w:rsidR="001E6C72" w:rsidRPr="00F76709">
        <w:rPr>
          <w:lang w:val="en-GB"/>
        </w:rPr>
        <w:t xml:space="preserve">produced steam </w:t>
      </w:r>
      <w:r w:rsidR="001C0878" w:rsidRPr="00F76709">
        <w:rPr>
          <w:lang w:val="en-GB"/>
        </w:rPr>
        <w:t xml:space="preserve">could </w:t>
      </w:r>
      <w:r w:rsidR="00EA351F" w:rsidRPr="00F76709">
        <w:rPr>
          <w:lang w:val="en-GB"/>
        </w:rPr>
        <w:t>cover</w:t>
      </w:r>
      <w:r w:rsidR="001E6C72" w:rsidRPr="00F76709">
        <w:rPr>
          <w:lang w:val="en-GB"/>
        </w:rPr>
        <w:t xml:space="preserve"> the steam demand for biomass pretreatment (i.e., steam explosion)</w:t>
      </w:r>
      <w:r w:rsidR="00761C0F" w:rsidRPr="00F76709">
        <w:rPr>
          <w:lang w:val="en-GB"/>
        </w:rPr>
        <w:t xml:space="preserve"> </w:t>
      </w:r>
      <w:r w:rsidR="00672717" w:rsidRPr="00F76709">
        <w:rPr>
          <w:lang w:val="en-GB"/>
        </w:rPr>
        <w:t xml:space="preserve">completely </w:t>
      </w:r>
      <w:r w:rsidR="00761C0F" w:rsidRPr="00F76709">
        <w:rPr>
          <w:lang w:val="en-GB"/>
        </w:rPr>
        <w:t>and</w:t>
      </w:r>
      <w:r w:rsidR="00672717" w:rsidRPr="00F76709">
        <w:rPr>
          <w:lang w:val="en-GB"/>
        </w:rPr>
        <w:t xml:space="preserve"> </w:t>
      </w:r>
      <w:r w:rsidR="007B3963" w:rsidRPr="00F76709">
        <w:rPr>
          <w:lang w:val="en-GB"/>
        </w:rPr>
        <w:t>ethanol purification</w:t>
      </w:r>
      <w:r w:rsidR="00672717" w:rsidRPr="00F76709">
        <w:rPr>
          <w:lang w:val="en-GB"/>
        </w:rPr>
        <w:t xml:space="preserve"> part</w:t>
      </w:r>
      <w:r w:rsidR="00D07E21" w:rsidRPr="00F76709">
        <w:rPr>
          <w:lang w:val="en-GB"/>
        </w:rPr>
        <w:t xml:space="preserve">ially. </w:t>
      </w:r>
      <w:r w:rsidR="0024331C" w:rsidRPr="00F76709">
        <w:rPr>
          <w:lang w:val="en-GB"/>
        </w:rPr>
        <w:t>T</w:t>
      </w:r>
      <w:r w:rsidR="007B3963" w:rsidRPr="00F76709">
        <w:rPr>
          <w:lang w:val="en-GB"/>
        </w:rPr>
        <w:t xml:space="preserve">he </w:t>
      </w:r>
      <w:r w:rsidR="00D07E21" w:rsidRPr="00F76709">
        <w:rPr>
          <w:lang w:val="en-GB"/>
        </w:rPr>
        <w:t xml:space="preserve">difference was </w:t>
      </w:r>
      <w:r w:rsidR="00077D77" w:rsidRPr="00F76709">
        <w:rPr>
          <w:lang w:val="en-GB"/>
        </w:rPr>
        <w:t>covered with natural gas combustion.</w:t>
      </w:r>
      <w:r w:rsidR="00E54F31">
        <w:rPr>
          <w:lang w:val="en-GB"/>
        </w:rPr>
        <w:t xml:space="preserve"> </w:t>
      </w:r>
    </w:p>
    <w:p w14:paraId="144DE6A1" w14:textId="47757B22" w:rsidR="008D2649" w:rsidRDefault="00727F5C" w:rsidP="008D2649">
      <w:pPr>
        <w:pStyle w:val="Els-1storder-head"/>
        <w:spacing w:after="120"/>
        <w:rPr>
          <w:lang w:val="en-GB"/>
        </w:rPr>
      </w:pPr>
      <w:r>
        <w:rPr>
          <w:lang w:val="en-GB"/>
        </w:rPr>
        <w:lastRenderedPageBreak/>
        <w:t>Materials and methods</w:t>
      </w:r>
    </w:p>
    <w:p w14:paraId="18123072" w14:textId="79D9E250" w:rsidR="00434688" w:rsidRDefault="00E254BD" w:rsidP="0003145C">
      <w:pPr>
        <w:pStyle w:val="Els-body-text"/>
        <w:rPr>
          <w:lang w:val="en-GB"/>
        </w:rPr>
      </w:pPr>
      <w:r>
        <w:rPr>
          <w:lang w:val="en-GB"/>
        </w:rPr>
        <w:t>After</w:t>
      </w:r>
      <w:r w:rsidR="00DF5CE3">
        <w:rPr>
          <w:lang w:val="en-GB"/>
        </w:rPr>
        <w:t xml:space="preserve"> </w:t>
      </w:r>
      <w:r w:rsidR="006077A4">
        <w:rPr>
          <w:lang w:val="en-GB"/>
        </w:rPr>
        <w:t xml:space="preserve">closing </w:t>
      </w:r>
      <w:r w:rsidR="00DF5CE3">
        <w:rPr>
          <w:lang w:val="en-GB"/>
        </w:rPr>
        <w:t>the e</w:t>
      </w:r>
      <w:r w:rsidR="0018783E">
        <w:rPr>
          <w:lang w:val="en-GB"/>
        </w:rPr>
        <w:t>nergy and material balances</w:t>
      </w:r>
      <w:r>
        <w:rPr>
          <w:lang w:val="en-GB"/>
        </w:rPr>
        <w:t xml:space="preserve"> in </w:t>
      </w:r>
      <w:r w:rsidR="002774B8">
        <w:rPr>
          <w:lang w:val="en-GB"/>
        </w:rPr>
        <w:t>Note</w:t>
      </w:r>
      <w:r w:rsidR="003F0C98">
        <w:rPr>
          <w:lang w:val="en-GB"/>
        </w:rPr>
        <w:t xml:space="preserve"> </w:t>
      </w:r>
      <w:r w:rsidR="002774B8">
        <w:rPr>
          <w:lang w:val="en-GB"/>
        </w:rPr>
        <w:t>I</w:t>
      </w:r>
      <w:r w:rsidR="005A4C4A">
        <w:rPr>
          <w:lang w:val="en-GB"/>
        </w:rPr>
        <w:t>,</w:t>
      </w:r>
      <w:r>
        <w:rPr>
          <w:lang w:val="en-GB"/>
        </w:rPr>
        <w:t xml:space="preserve"> here,</w:t>
      </w:r>
      <w:r w:rsidR="005A4C4A">
        <w:rPr>
          <w:lang w:val="en-GB"/>
        </w:rPr>
        <w:t xml:space="preserve"> we prepared a </w:t>
      </w:r>
      <w:r w:rsidR="0046031E">
        <w:rPr>
          <w:lang w:val="en-GB"/>
        </w:rPr>
        <w:t>techno-economic assessment (TEA)</w:t>
      </w:r>
      <w:r w:rsidR="0018783E">
        <w:rPr>
          <w:lang w:val="en-GB"/>
        </w:rPr>
        <w:t xml:space="preserve"> </w:t>
      </w:r>
      <w:r w:rsidR="005A4C4A" w:rsidRPr="005A4C4A">
        <w:rPr>
          <w:lang w:val="en-GB"/>
        </w:rPr>
        <w:t xml:space="preserve">for the spruce-to-fuel biorefinery </w:t>
      </w:r>
      <w:r w:rsidR="000A29D0">
        <w:rPr>
          <w:lang w:val="en-GB"/>
        </w:rPr>
        <w:t>sketched</w:t>
      </w:r>
      <w:r w:rsidR="0018783E">
        <w:rPr>
          <w:lang w:val="en-GB"/>
        </w:rPr>
        <w:t xml:space="preserve"> in </w:t>
      </w:r>
      <w:r w:rsidR="00271AED">
        <w:rPr>
          <w:lang w:val="en-GB"/>
        </w:rPr>
        <w:t>Figure 1 (</w:t>
      </w:r>
      <w:r w:rsidR="0057373A" w:rsidRPr="0057373A">
        <w:rPr>
          <w:lang w:val="en-GB"/>
        </w:rPr>
        <w:t>process design</w:t>
      </w:r>
      <w:r w:rsidR="0057373A">
        <w:rPr>
          <w:lang w:val="en-GB"/>
        </w:rPr>
        <w:t>)</w:t>
      </w:r>
      <w:r w:rsidR="001772F9">
        <w:rPr>
          <w:lang w:val="en-GB"/>
        </w:rPr>
        <w:t xml:space="preserve"> </w:t>
      </w:r>
      <w:r w:rsidR="00271AED">
        <w:rPr>
          <w:lang w:val="en-GB"/>
        </w:rPr>
        <w:t xml:space="preserve">and </w:t>
      </w:r>
      <w:r w:rsidR="0018783E">
        <w:rPr>
          <w:lang w:val="en-GB"/>
        </w:rPr>
        <w:t>Note I</w:t>
      </w:r>
      <w:r w:rsidR="001772F9">
        <w:rPr>
          <w:lang w:val="en-GB"/>
        </w:rPr>
        <w:t xml:space="preserve"> (</w:t>
      </w:r>
      <w:r w:rsidR="001772F9" w:rsidRPr="001772F9">
        <w:rPr>
          <w:lang w:val="en-GB"/>
        </w:rPr>
        <w:t>operating conditions</w:t>
      </w:r>
      <w:r w:rsidR="00271AED">
        <w:rPr>
          <w:lang w:val="en-GB"/>
        </w:rPr>
        <w:t>)</w:t>
      </w:r>
      <w:r w:rsidR="0018783E">
        <w:rPr>
          <w:lang w:val="en-GB"/>
        </w:rPr>
        <w:t>.</w:t>
      </w:r>
      <w:r w:rsidR="0046031E">
        <w:rPr>
          <w:lang w:val="en-GB"/>
        </w:rPr>
        <w:t xml:space="preserve"> </w:t>
      </w:r>
      <w:r w:rsidR="001772F9">
        <w:rPr>
          <w:lang w:val="en-GB"/>
        </w:rPr>
        <w:t xml:space="preserve">For that, </w:t>
      </w:r>
      <w:r w:rsidR="0046031E">
        <w:rPr>
          <w:lang w:val="en-GB"/>
        </w:rPr>
        <w:t xml:space="preserve">we </w:t>
      </w:r>
      <w:r w:rsidR="001772F9">
        <w:rPr>
          <w:lang w:val="en-GB"/>
        </w:rPr>
        <w:t xml:space="preserve">made </w:t>
      </w:r>
      <w:r w:rsidR="0046031E">
        <w:rPr>
          <w:lang w:val="en-GB"/>
        </w:rPr>
        <w:t xml:space="preserve">the </w:t>
      </w:r>
      <w:r w:rsidR="001772F9">
        <w:rPr>
          <w:lang w:val="en-GB"/>
        </w:rPr>
        <w:t xml:space="preserve">following </w:t>
      </w:r>
      <w:r w:rsidR="0046031E">
        <w:rPr>
          <w:lang w:val="en-GB"/>
        </w:rPr>
        <w:t>assumptions</w:t>
      </w:r>
      <w:r w:rsidR="005835C4">
        <w:rPr>
          <w:lang w:val="en-GB"/>
        </w:rPr>
        <w:t xml:space="preserve"> </w:t>
      </w:r>
      <w:r w:rsidR="002774B8">
        <w:rPr>
          <w:lang w:val="en-GB"/>
        </w:rPr>
        <w:t xml:space="preserve">(Section 3.1) and analysed the impact of the hydrogen </w:t>
      </w:r>
      <w:r w:rsidR="00F9381B">
        <w:rPr>
          <w:lang w:val="en-GB"/>
        </w:rPr>
        <w:t>source on process feasibility and profitability</w:t>
      </w:r>
      <w:r w:rsidR="002774B8">
        <w:rPr>
          <w:lang w:val="en-GB"/>
        </w:rPr>
        <w:t xml:space="preserve"> (Section 3.2)</w:t>
      </w:r>
      <w:r w:rsidR="0046031E">
        <w:rPr>
          <w:lang w:val="en-GB"/>
        </w:rPr>
        <w:t>.</w:t>
      </w:r>
      <w:r w:rsidR="0018783E">
        <w:rPr>
          <w:lang w:val="en-GB"/>
        </w:rPr>
        <w:t xml:space="preserve"> </w:t>
      </w:r>
    </w:p>
    <w:p w14:paraId="0FF1A59E" w14:textId="67B56ADC" w:rsidR="00D0053B" w:rsidRPr="00933DE8" w:rsidRDefault="00432330" w:rsidP="007A1DC6">
      <w:pPr>
        <w:pStyle w:val="Els-1storder-head"/>
        <w:numPr>
          <w:ilvl w:val="1"/>
          <w:numId w:val="19"/>
        </w:numPr>
        <w:spacing w:before="120" w:after="120"/>
        <w:ind w:left="357" w:hanging="357"/>
        <w:rPr>
          <w:b w:val="0"/>
          <w:bCs/>
          <w:i/>
          <w:iCs/>
          <w:sz w:val="20"/>
          <w:szCs w:val="18"/>
          <w:lang w:val="en-GB"/>
        </w:rPr>
      </w:pPr>
      <w:r w:rsidRPr="00933DE8">
        <w:rPr>
          <w:b w:val="0"/>
          <w:bCs/>
          <w:i/>
          <w:iCs/>
          <w:sz w:val="20"/>
          <w:szCs w:val="18"/>
          <w:lang w:val="en-GB"/>
        </w:rPr>
        <w:t>A</w:t>
      </w:r>
      <w:r w:rsidR="00D0053B" w:rsidRPr="00933DE8">
        <w:rPr>
          <w:b w:val="0"/>
          <w:bCs/>
          <w:i/>
          <w:iCs/>
          <w:sz w:val="20"/>
          <w:szCs w:val="18"/>
          <w:lang w:val="en-GB"/>
        </w:rPr>
        <w:t>ssumptions</w:t>
      </w:r>
    </w:p>
    <w:p w14:paraId="085143FF" w14:textId="411A0A37" w:rsidR="00BA6344" w:rsidRPr="00933DE8" w:rsidRDefault="00BA6344" w:rsidP="008F3DF2">
      <w:pPr>
        <w:pStyle w:val="Els-1storder-head"/>
        <w:numPr>
          <w:ilvl w:val="2"/>
          <w:numId w:val="19"/>
        </w:numPr>
        <w:spacing w:before="120" w:after="120"/>
        <w:ind w:left="567" w:hanging="567"/>
        <w:rPr>
          <w:b w:val="0"/>
          <w:bCs/>
          <w:i/>
          <w:iCs/>
          <w:sz w:val="20"/>
          <w:szCs w:val="18"/>
          <w:lang w:val="en-GB"/>
        </w:rPr>
      </w:pPr>
      <w:r w:rsidRPr="00933DE8">
        <w:rPr>
          <w:b w:val="0"/>
          <w:bCs/>
          <w:i/>
          <w:iCs/>
          <w:sz w:val="20"/>
          <w:szCs w:val="18"/>
          <w:lang w:val="en-GB"/>
        </w:rPr>
        <w:t xml:space="preserve">Capital </w:t>
      </w:r>
      <w:r w:rsidR="006040BD" w:rsidRPr="00933DE8">
        <w:rPr>
          <w:b w:val="0"/>
          <w:bCs/>
          <w:i/>
          <w:iCs/>
          <w:sz w:val="20"/>
          <w:szCs w:val="18"/>
          <w:lang w:val="en-GB"/>
        </w:rPr>
        <w:t>Investments</w:t>
      </w:r>
      <w:r w:rsidRPr="00933DE8">
        <w:rPr>
          <w:b w:val="0"/>
          <w:bCs/>
          <w:i/>
          <w:iCs/>
          <w:sz w:val="20"/>
          <w:szCs w:val="18"/>
          <w:lang w:val="en-GB"/>
        </w:rPr>
        <w:t xml:space="preserve"> (CAPEX)</w:t>
      </w:r>
    </w:p>
    <w:p w14:paraId="38E49F06" w14:textId="50FDD210" w:rsidR="006040BD" w:rsidRDefault="006040BD" w:rsidP="006040BD">
      <w:pPr>
        <w:pStyle w:val="Els-body-text"/>
        <w:rPr>
          <w:lang w:val="en-GB"/>
        </w:rPr>
      </w:pPr>
      <w:r>
        <w:rPr>
          <w:lang w:val="en-GB"/>
        </w:rPr>
        <w:t xml:space="preserve">The CAPEX </w:t>
      </w:r>
      <w:r w:rsidR="00175A75">
        <w:rPr>
          <w:lang w:val="en-GB"/>
        </w:rPr>
        <w:t xml:space="preserve">was </w:t>
      </w:r>
      <w:r>
        <w:rPr>
          <w:lang w:val="en-GB"/>
        </w:rPr>
        <w:t>estimate</w:t>
      </w:r>
      <w:r w:rsidR="00175A75">
        <w:rPr>
          <w:lang w:val="en-GB"/>
        </w:rPr>
        <w:t>d</w:t>
      </w:r>
      <w:r>
        <w:rPr>
          <w:lang w:val="en-GB"/>
        </w:rPr>
        <w:t xml:space="preserve"> based on Guthrie</w:t>
      </w:r>
      <w:r w:rsidR="00E4706D">
        <w:rPr>
          <w:lang w:val="en-GB"/>
        </w:rPr>
        <w:t>’s work</w:t>
      </w:r>
      <w:r>
        <w:rPr>
          <w:lang w:val="en-GB"/>
        </w:rPr>
        <w:t xml:space="preserve"> </w:t>
      </w:r>
      <w:r w:rsidR="00E4706D">
        <w:rPr>
          <w:lang w:val="en-GB"/>
        </w:rPr>
        <w:t>(</w:t>
      </w:r>
      <w:r>
        <w:rPr>
          <w:lang w:val="en-GB"/>
        </w:rPr>
        <w:t>1978)</w:t>
      </w:r>
      <w:r w:rsidR="00BD2F14">
        <w:rPr>
          <w:lang w:val="en-GB"/>
        </w:rPr>
        <w:t xml:space="preserve"> </w:t>
      </w:r>
      <w:r w:rsidR="00E4706D">
        <w:rPr>
          <w:lang w:val="en-GB"/>
        </w:rPr>
        <w:t xml:space="preserve">and </w:t>
      </w:r>
      <w:r w:rsidR="00BD2F14">
        <w:rPr>
          <w:lang w:val="en-GB"/>
        </w:rPr>
        <w:t xml:space="preserve">updated to 2021 using the </w:t>
      </w:r>
      <w:r w:rsidR="00135AC6" w:rsidRPr="00135AC6">
        <w:rPr>
          <w:lang w:val="en-GB"/>
        </w:rPr>
        <w:t xml:space="preserve">Chemical Engineering Plant Cost </w:t>
      </w:r>
      <w:r w:rsidR="002774B8">
        <w:rPr>
          <w:lang w:val="en-GB"/>
        </w:rPr>
        <w:t>I</w:t>
      </w:r>
      <w:r w:rsidR="00135AC6" w:rsidRPr="00135AC6">
        <w:rPr>
          <w:lang w:val="en-GB"/>
        </w:rPr>
        <w:t xml:space="preserve">ndex </w:t>
      </w:r>
      <w:r w:rsidR="00135AC6">
        <w:rPr>
          <w:lang w:val="en-GB"/>
        </w:rPr>
        <w:t>(</w:t>
      </w:r>
      <w:r w:rsidR="00BD2F14">
        <w:rPr>
          <w:lang w:val="en-GB"/>
        </w:rPr>
        <w:t>CEPCI</w:t>
      </w:r>
      <w:r w:rsidR="00135AC6">
        <w:rPr>
          <w:lang w:val="en-GB"/>
        </w:rPr>
        <w:t>)</w:t>
      </w:r>
      <w:r w:rsidR="00BD2F14">
        <w:rPr>
          <w:lang w:val="en-GB"/>
        </w:rPr>
        <w:t xml:space="preserve">. This year </w:t>
      </w:r>
      <w:r w:rsidR="002013DF">
        <w:rPr>
          <w:lang w:val="en-GB"/>
        </w:rPr>
        <w:t xml:space="preserve">was selected </w:t>
      </w:r>
      <w:r w:rsidR="00B16B1A">
        <w:rPr>
          <w:lang w:val="en-GB"/>
        </w:rPr>
        <w:t xml:space="preserve">to evaluate feasibility </w:t>
      </w:r>
      <w:r w:rsidR="001F2D2D">
        <w:rPr>
          <w:lang w:val="en-GB"/>
        </w:rPr>
        <w:t xml:space="preserve">under stable market conditions </w:t>
      </w:r>
      <w:r w:rsidR="00B16B1A" w:rsidRPr="00B16B1A">
        <w:rPr>
          <w:lang w:val="en-GB"/>
        </w:rPr>
        <w:t xml:space="preserve">as it predates </w:t>
      </w:r>
      <w:r w:rsidR="00F33CF3">
        <w:rPr>
          <w:lang w:val="en-GB"/>
        </w:rPr>
        <w:t>the war in Ukraine</w:t>
      </w:r>
      <w:r w:rsidR="00334DE1">
        <w:rPr>
          <w:lang w:val="en-GB"/>
        </w:rPr>
        <w:t xml:space="preserve"> in 2022</w:t>
      </w:r>
      <w:r w:rsidR="00113C9F">
        <w:rPr>
          <w:lang w:val="en-GB"/>
        </w:rPr>
        <w:t xml:space="preserve">, which </w:t>
      </w:r>
      <w:r w:rsidR="004B67F2" w:rsidRPr="00630767">
        <w:rPr>
          <w:lang w:val="en-GB"/>
        </w:rPr>
        <w:t xml:space="preserve">created turmoil for </w:t>
      </w:r>
      <w:r w:rsidR="00434E10" w:rsidRPr="00630767">
        <w:rPr>
          <w:lang w:val="en-GB"/>
        </w:rPr>
        <w:t>the economic indexes</w:t>
      </w:r>
      <w:r w:rsidR="00F33CF3" w:rsidRPr="00630767">
        <w:rPr>
          <w:lang w:val="en-GB"/>
        </w:rPr>
        <w:t>.</w:t>
      </w:r>
      <w:r w:rsidR="00B27D91" w:rsidRPr="00630767">
        <w:rPr>
          <w:lang w:val="en-GB"/>
        </w:rPr>
        <w:t xml:space="preserve"> </w:t>
      </w:r>
      <w:r w:rsidR="00175A75" w:rsidRPr="00630767">
        <w:rPr>
          <w:lang w:val="en-GB"/>
        </w:rPr>
        <w:t>T</w:t>
      </w:r>
      <w:r w:rsidR="00B27D91" w:rsidRPr="00630767">
        <w:rPr>
          <w:lang w:val="en-GB"/>
        </w:rPr>
        <w:t xml:space="preserve">he purchase base cost of each piece of equipment </w:t>
      </w:r>
      <w:r w:rsidR="0065259B" w:rsidRPr="00630767">
        <w:rPr>
          <w:lang w:val="en-GB"/>
        </w:rPr>
        <w:t>wa</w:t>
      </w:r>
      <w:r w:rsidR="00B27D91" w:rsidRPr="00630767">
        <w:rPr>
          <w:lang w:val="en-GB"/>
        </w:rPr>
        <w:t>s turned into the corresponding bare module cost</w:t>
      </w:r>
      <w:r w:rsidR="002774B8" w:rsidRPr="00630767">
        <w:rPr>
          <w:lang w:val="en-GB"/>
        </w:rPr>
        <w:t xml:space="preserve">, where expenditure for </w:t>
      </w:r>
      <w:r w:rsidR="00D94C4B" w:rsidRPr="00630767">
        <w:rPr>
          <w:lang w:val="en-GB"/>
        </w:rPr>
        <w:t>materials, actual operating pressure, and installation</w:t>
      </w:r>
      <w:r w:rsidR="0079695F" w:rsidRPr="00630767">
        <w:rPr>
          <w:lang w:val="en-GB"/>
        </w:rPr>
        <w:t xml:space="preserve"> </w:t>
      </w:r>
      <w:r w:rsidR="00D94C4B" w:rsidRPr="00630767">
        <w:rPr>
          <w:lang w:val="en-GB"/>
        </w:rPr>
        <w:t>were included</w:t>
      </w:r>
      <w:r w:rsidR="00B27D91" w:rsidRPr="00630767">
        <w:rPr>
          <w:lang w:val="en-GB"/>
        </w:rPr>
        <w:t xml:space="preserve">. </w:t>
      </w:r>
      <w:r w:rsidR="00F33CF3" w:rsidRPr="00630767">
        <w:rPr>
          <w:lang w:val="en-GB"/>
        </w:rPr>
        <w:t>The siz</w:t>
      </w:r>
      <w:r w:rsidR="00695F7B" w:rsidRPr="00630767">
        <w:rPr>
          <w:lang w:val="en-GB"/>
        </w:rPr>
        <w:t>e</w:t>
      </w:r>
      <w:r w:rsidR="0056247A" w:rsidRPr="00630767">
        <w:rPr>
          <w:lang w:val="en-GB"/>
        </w:rPr>
        <w:t xml:space="preserve"> of reactors</w:t>
      </w:r>
      <w:r w:rsidR="00F33CF3">
        <w:rPr>
          <w:lang w:val="en-GB"/>
        </w:rPr>
        <w:t xml:space="preserve"> </w:t>
      </w:r>
      <w:r w:rsidR="0065259B">
        <w:rPr>
          <w:lang w:val="en-GB"/>
        </w:rPr>
        <w:t>wa</w:t>
      </w:r>
      <w:r w:rsidR="00F33CF3">
        <w:rPr>
          <w:lang w:val="en-GB"/>
        </w:rPr>
        <w:t>s based on the residence time and</w:t>
      </w:r>
      <w:r w:rsidR="0056247A">
        <w:rPr>
          <w:lang w:val="en-GB"/>
        </w:rPr>
        <w:t xml:space="preserve"> </w:t>
      </w:r>
      <w:r w:rsidR="003F0C98">
        <w:rPr>
          <w:lang w:val="en-GB"/>
        </w:rPr>
        <w:t>inlet</w:t>
      </w:r>
      <w:r w:rsidR="0056247A">
        <w:rPr>
          <w:lang w:val="en-GB"/>
        </w:rPr>
        <w:t xml:space="preserve"> volumetric flow. The diameter </w:t>
      </w:r>
      <w:r w:rsidR="0083170E">
        <w:rPr>
          <w:lang w:val="en-GB"/>
        </w:rPr>
        <w:t xml:space="preserve">and height </w:t>
      </w:r>
      <w:r w:rsidR="0056247A">
        <w:rPr>
          <w:lang w:val="en-GB"/>
        </w:rPr>
        <w:t>of</w:t>
      </w:r>
      <w:r w:rsidR="00F33CF3">
        <w:rPr>
          <w:lang w:val="en-GB"/>
        </w:rPr>
        <w:t xml:space="preserve"> </w:t>
      </w:r>
      <w:r w:rsidR="0056247A">
        <w:rPr>
          <w:lang w:val="en-GB"/>
        </w:rPr>
        <w:t xml:space="preserve">separation columns </w:t>
      </w:r>
      <w:r w:rsidR="008718F4">
        <w:rPr>
          <w:lang w:val="en-GB"/>
        </w:rPr>
        <w:t xml:space="preserve">and the </w:t>
      </w:r>
      <w:r w:rsidR="008718F4" w:rsidRPr="008718F4">
        <w:rPr>
          <w:lang w:val="en-GB"/>
        </w:rPr>
        <w:t xml:space="preserve">number of trays </w:t>
      </w:r>
      <w:r w:rsidR="00D17D18">
        <w:rPr>
          <w:lang w:val="en-GB"/>
        </w:rPr>
        <w:t>w</w:t>
      </w:r>
      <w:r w:rsidR="0083170E">
        <w:rPr>
          <w:lang w:val="en-GB"/>
        </w:rPr>
        <w:t>ere</w:t>
      </w:r>
      <w:r w:rsidR="0056247A">
        <w:rPr>
          <w:lang w:val="en-GB"/>
        </w:rPr>
        <w:t xml:space="preserve"> </w:t>
      </w:r>
      <w:r w:rsidR="00D17D18">
        <w:rPr>
          <w:lang w:val="en-GB"/>
        </w:rPr>
        <w:t xml:space="preserve">estimated </w:t>
      </w:r>
      <w:r w:rsidR="0083170E">
        <w:rPr>
          <w:lang w:val="en-GB"/>
        </w:rPr>
        <w:t xml:space="preserve">for achieving </w:t>
      </w:r>
      <w:r w:rsidR="00D241B7" w:rsidRPr="00D241B7">
        <w:rPr>
          <w:lang w:val="en-GB"/>
        </w:rPr>
        <w:t>adequate vapor</w:t>
      </w:r>
      <w:r w:rsidR="00571D2E">
        <w:rPr>
          <w:lang w:val="en-GB"/>
        </w:rPr>
        <w:t>–</w:t>
      </w:r>
      <w:r w:rsidR="00D241B7" w:rsidRPr="00D241B7">
        <w:rPr>
          <w:lang w:val="en-GB"/>
        </w:rPr>
        <w:t>liquid</w:t>
      </w:r>
      <w:r w:rsidR="0014692F">
        <w:rPr>
          <w:lang w:val="en-GB"/>
        </w:rPr>
        <w:t xml:space="preserve"> </w:t>
      </w:r>
      <w:r w:rsidR="00D241B7" w:rsidRPr="00D241B7">
        <w:rPr>
          <w:lang w:val="en-GB"/>
        </w:rPr>
        <w:t>contact</w:t>
      </w:r>
      <w:r w:rsidR="00D241B7">
        <w:rPr>
          <w:lang w:val="en-GB"/>
        </w:rPr>
        <w:t xml:space="preserve"> </w:t>
      </w:r>
      <w:r w:rsidR="0083170E">
        <w:rPr>
          <w:lang w:val="en-GB"/>
        </w:rPr>
        <w:t xml:space="preserve">(i.e., 70% </w:t>
      </w:r>
      <w:r w:rsidR="0056247A">
        <w:rPr>
          <w:lang w:val="en-GB"/>
        </w:rPr>
        <w:t xml:space="preserve">flooding </w:t>
      </w:r>
      <w:r w:rsidR="00B00A67">
        <w:rPr>
          <w:lang w:val="en-GB"/>
        </w:rPr>
        <w:t>conditions</w:t>
      </w:r>
      <w:r w:rsidR="00F33CF3">
        <w:rPr>
          <w:lang w:val="en-GB"/>
        </w:rPr>
        <w:t>)</w:t>
      </w:r>
      <w:r w:rsidR="0083170E">
        <w:rPr>
          <w:lang w:val="en-GB"/>
        </w:rPr>
        <w:t xml:space="preserve"> and </w:t>
      </w:r>
      <w:r w:rsidR="0056247A">
        <w:rPr>
          <w:lang w:val="en-GB"/>
        </w:rPr>
        <w:t>global separation efficiency (70%</w:t>
      </w:r>
      <w:r w:rsidR="003730D4">
        <w:rPr>
          <w:lang w:val="en-GB"/>
        </w:rPr>
        <w:t xml:space="preserve"> efficiency</w:t>
      </w:r>
      <w:r w:rsidR="0056247A">
        <w:rPr>
          <w:lang w:val="en-GB"/>
        </w:rPr>
        <w:t>)</w:t>
      </w:r>
      <w:r w:rsidR="000160DB">
        <w:rPr>
          <w:lang w:val="en-GB"/>
        </w:rPr>
        <w:t>.</w:t>
      </w:r>
      <w:r w:rsidR="0056247A">
        <w:rPr>
          <w:lang w:val="en-GB"/>
        </w:rPr>
        <w:t xml:space="preserve"> </w:t>
      </w:r>
      <w:r w:rsidR="00F33CF3">
        <w:rPr>
          <w:lang w:val="en-GB"/>
        </w:rPr>
        <w:t xml:space="preserve">The reactors </w:t>
      </w:r>
      <w:r w:rsidR="003730D4">
        <w:rPr>
          <w:lang w:val="en-GB"/>
        </w:rPr>
        <w:t>we</w:t>
      </w:r>
      <w:r w:rsidR="00F33CF3">
        <w:rPr>
          <w:lang w:val="en-GB"/>
        </w:rPr>
        <w:t xml:space="preserve">re designed as simple </w:t>
      </w:r>
      <w:r w:rsidR="00B00A67">
        <w:rPr>
          <w:lang w:val="en-GB"/>
        </w:rPr>
        <w:t>vessels</w:t>
      </w:r>
      <w:r w:rsidR="00BC3112">
        <w:rPr>
          <w:lang w:val="en-GB"/>
        </w:rPr>
        <w:t xml:space="preserve"> since correlations for tube bundles </w:t>
      </w:r>
      <w:r w:rsidR="00991C3E">
        <w:rPr>
          <w:lang w:val="en-GB"/>
        </w:rPr>
        <w:t>are</w:t>
      </w:r>
      <w:r w:rsidR="00BC3112">
        <w:rPr>
          <w:lang w:val="en-GB"/>
        </w:rPr>
        <w:t xml:space="preserve"> </w:t>
      </w:r>
      <w:r w:rsidR="00F9381B">
        <w:rPr>
          <w:lang w:val="en-GB"/>
        </w:rPr>
        <w:t>not available</w:t>
      </w:r>
      <w:r w:rsidR="00DF199F">
        <w:rPr>
          <w:lang w:val="en-GB"/>
        </w:rPr>
        <w:t xml:space="preserve">. The analysis neglects the costs </w:t>
      </w:r>
      <w:r w:rsidR="000160DB">
        <w:rPr>
          <w:lang w:val="en-GB"/>
        </w:rPr>
        <w:t>of</w:t>
      </w:r>
      <w:r w:rsidR="00DF199F">
        <w:rPr>
          <w:lang w:val="en-GB"/>
        </w:rPr>
        <w:t xml:space="preserve"> </w:t>
      </w:r>
      <w:r w:rsidR="0023078E">
        <w:rPr>
          <w:lang w:val="en-GB"/>
        </w:rPr>
        <w:t>filters</w:t>
      </w:r>
      <w:r w:rsidR="00DF199F">
        <w:rPr>
          <w:lang w:val="en-GB"/>
        </w:rPr>
        <w:t xml:space="preserve"> and </w:t>
      </w:r>
      <w:r w:rsidR="000160DB">
        <w:rPr>
          <w:lang w:val="en-GB"/>
        </w:rPr>
        <w:t>cyclones</w:t>
      </w:r>
      <w:r w:rsidR="00DF199F">
        <w:rPr>
          <w:lang w:val="en-GB"/>
        </w:rPr>
        <w:t>.</w:t>
      </w:r>
      <w:r w:rsidR="005E05EA">
        <w:rPr>
          <w:lang w:val="en-GB"/>
        </w:rPr>
        <w:t xml:space="preserve"> </w:t>
      </w:r>
      <w:r w:rsidR="00F235BE">
        <w:rPr>
          <w:lang w:val="en-GB"/>
        </w:rPr>
        <w:t>Furthermore</w:t>
      </w:r>
      <w:r w:rsidR="005E05EA">
        <w:rPr>
          <w:lang w:val="en-GB"/>
        </w:rPr>
        <w:t>,</w:t>
      </w:r>
      <w:r w:rsidR="00DF199F">
        <w:rPr>
          <w:lang w:val="en-GB"/>
        </w:rPr>
        <w:t xml:space="preserve"> </w:t>
      </w:r>
      <w:r w:rsidR="005E05EA">
        <w:rPr>
          <w:lang w:val="en-GB"/>
        </w:rPr>
        <w:t>w</w:t>
      </w:r>
      <w:r w:rsidR="0023078E">
        <w:rPr>
          <w:lang w:val="en-GB"/>
        </w:rPr>
        <w:t>e assume</w:t>
      </w:r>
      <w:r w:rsidR="00F235BE">
        <w:rPr>
          <w:lang w:val="en-GB"/>
        </w:rPr>
        <w:t>d</w:t>
      </w:r>
      <w:r w:rsidR="0023078E">
        <w:rPr>
          <w:lang w:val="en-GB"/>
        </w:rPr>
        <w:t xml:space="preserve"> that </w:t>
      </w:r>
      <w:r w:rsidR="00B00A67">
        <w:rPr>
          <w:lang w:val="en-GB"/>
        </w:rPr>
        <w:t>combustion technology (</w:t>
      </w:r>
      <w:r w:rsidR="0023078E">
        <w:rPr>
          <w:lang w:val="en-GB"/>
        </w:rPr>
        <w:t xml:space="preserve">air </w:t>
      </w:r>
      <w:r w:rsidR="00B00A67">
        <w:rPr>
          <w:lang w:val="en-GB"/>
        </w:rPr>
        <w:t>or</w:t>
      </w:r>
      <w:r w:rsidR="0023078E">
        <w:rPr>
          <w:lang w:val="en-GB"/>
        </w:rPr>
        <w:t xml:space="preserve"> </w:t>
      </w:r>
      <w:proofErr w:type="gramStart"/>
      <w:r w:rsidR="0023078E">
        <w:rPr>
          <w:lang w:val="en-GB"/>
        </w:rPr>
        <w:t>oxy-combustion</w:t>
      </w:r>
      <w:proofErr w:type="gramEnd"/>
      <w:r w:rsidR="00B00A67">
        <w:rPr>
          <w:lang w:val="en-GB"/>
        </w:rPr>
        <w:t>)</w:t>
      </w:r>
      <w:r w:rsidR="0023078E">
        <w:rPr>
          <w:lang w:val="en-GB"/>
        </w:rPr>
        <w:t xml:space="preserve"> do</w:t>
      </w:r>
      <w:r w:rsidR="00B00A67">
        <w:rPr>
          <w:lang w:val="en-GB"/>
        </w:rPr>
        <w:t>es</w:t>
      </w:r>
      <w:r w:rsidR="0023078E">
        <w:rPr>
          <w:lang w:val="en-GB"/>
        </w:rPr>
        <w:t xml:space="preserve"> not affect </w:t>
      </w:r>
      <w:r w:rsidR="00B00A67">
        <w:rPr>
          <w:lang w:val="en-GB"/>
        </w:rPr>
        <w:t xml:space="preserve">investment costs for </w:t>
      </w:r>
      <w:r w:rsidR="00BC3112">
        <w:rPr>
          <w:lang w:val="en-GB"/>
        </w:rPr>
        <w:t xml:space="preserve">the </w:t>
      </w:r>
      <w:r w:rsidR="00B00A67">
        <w:rPr>
          <w:lang w:val="en-GB"/>
        </w:rPr>
        <w:t>waste heat boiler.</w:t>
      </w:r>
      <w:r w:rsidR="005E05EA">
        <w:rPr>
          <w:lang w:val="en-GB"/>
        </w:rPr>
        <w:t xml:space="preserve"> This </w:t>
      </w:r>
      <w:r w:rsidR="002D7D5E">
        <w:rPr>
          <w:lang w:val="en-GB"/>
        </w:rPr>
        <w:t xml:space="preserve">assumption considers that compact volumes for </w:t>
      </w:r>
      <w:proofErr w:type="gramStart"/>
      <w:r w:rsidR="002D7D5E">
        <w:rPr>
          <w:lang w:val="en-GB"/>
        </w:rPr>
        <w:t>oxy-combustion</w:t>
      </w:r>
      <w:proofErr w:type="gramEnd"/>
      <w:r w:rsidR="002D7D5E">
        <w:rPr>
          <w:lang w:val="en-GB"/>
        </w:rPr>
        <w:t xml:space="preserve"> </w:t>
      </w:r>
      <w:r w:rsidR="00D84126">
        <w:rPr>
          <w:lang w:val="en-GB"/>
        </w:rPr>
        <w:t>compensate</w:t>
      </w:r>
      <w:r w:rsidR="005B190D">
        <w:rPr>
          <w:lang w:val="en-GB"/>
        </w:rPr>
        <w:t xml:space="preserve"> for</w:t>
      </w:r>
      <w:r w:rsidR="002D7D5E">
        <w:rPr>
          <w:lang w:val="en-GB"/>
        </w:rPr>
        <w:t xml:space="preserve"> the need </w:t>
      </w:r>
      <w:r w:rsidR="0014692F">
        <w:rPr>
          <w:lang w:val="en-GB"/>
        </w:rPr>
        <w:t>for</w:t>
      </w:r>
      <w:r w:rsidR="001A1958">
        <w:rPr>
          <w:lang w:val="en-GB"/>
        </w:rPr>
        <w:t xml:space="preserve"> </w:t>
      </w:r>
      <w:r w:rsidR="002D7D5E">
        <w:rPr>
          <w:lang w:val="en-GB"/>
        </w:rPr>
        <w:t xml:space="preserve">more </w:t>
      </w:r>
      <w:r w:rsidR="003866DD">
        <w:rPr>
          <w:lang w:val="en-GB"/>
        </w:rPr>
        <w:t>expensive</w:t>
      </w:r>
      <w:r w:rsidR="002D7D5E">
        <w:rPr>
          <w:lang w:val="en-GB"/>
        </w:rPr>
        <w:t xml:space="preserve"> materials. </w:t>
      </w:r>
      <w:r w:rsidR="00BC3112">
        <w:rPr>
          <w:lang w:val="en-GB"/>
        </w:rPr>
        <w:t xml:space="preserve">The final value for the CAPEX reflects </w:t>
      </w:r>
      <w:r w:rsidR="00991C3E">
        <w:rPr>
          <w:lang w:val="en-GB"/>
        </w:rPr>
        <w:t xml:space="preserve">the </w:t>
      </w:r>
      <w:r w:rsidR="00D94C4B">
        <w:rPr>
          <w:lang w:val="en-GB"/>
        </w:rPr>
        <w:t>g</w:t>
      </w:r>
      <w:r w:rsidR="009710FE">
        <w:rPr>
          <w:lang w:val="en-GB"/>
        </w:rPr>
        <w:t>rass-</w:t>
      </w:r>
      <w:r w:rsidR="00D94C4B">
        <w:rPr>
          <w:lang w:val="en-GB"/>
        </w:rPr>
        <w:t>r</w:t>
      </w:r>
      <w:r w:rsidR="009710FE">
        <w:rPr>
          <w:lang w:val="en-GB"/>
        </w:rPr>
        <w:t>oots</w:t>
      </w:r>
      <w:r w:rsidR="00991C3E">
        <w:rPr>
          <w:lang w:val="en-GB"/>
        </w:rPr>
        <w:t xml:space="preserve"> </w:t>
      </w:r>
      <w:r w:rsidR="00D94C4B">
        <w:rPr>
          <w:lang w:val="en-GB"/>
        </w:rPr>
        <w:t>c</w:t>
      </w:r>
      <w:r w:rsidR="00991C3E">
        <w:rPr>
          <w:lang w:val="en-GB"/>
        </w:rPr>
        <w:t xml:space="preserve">ost, meaning that the biorefinery is built as a greenfield plant. The lifetime of the plant </w:t>
      </w:r>
      <w:r w:rsidR="004D5895">
        <w:rPr>
          <w:lang w:val="en-GB"/>
        </w:rPr>
        <w:t>wa</w:t>
      </w:r>
      <w:r w:rsidR="00991C3E">
        <w:rPr>
          <w:lang w:val="en-GB"/>
        </w:rPr>
        <w:t xml:space="preserve">s assumed </w:t>
      </w:r>
      <w:r w:rsidR="004D5895">
        <w:rPr>
          <w:lang w:val="en-GB"/>
        </w:rPr>
        <w:t xml:space="preserve">to be </w:t>
      </w:r>
      <w:r w:rsidR="00991C3E">
        <w:rPr>
          <w:lang w:val="en-GB"/>
        </w:rPr>
        <w:t>20 years.</w:t>
      </w:r>
    </w:p>
    <w:p w14:paraId="014811A8" w14:textId="645A20A1" w:rsidR="00185544" w:rsidRPr="00933DE8" w:rsidRDefault="009878A8" w:rsidP="008F3DF2">
      <w:pPr>
        <w:pStyle w:val="Els-1storder-head"/>
        <w:numPr>
          <w:ilvl w:val="2"/>
          <w:numId w:val="19"/>
        </w:numPr>
        <w:spacing w:before="120" w:after="120"/>
        <w:ind w:left="567" w:hanging="567"/>
        <w:rPr>
          <w:b w:val="0"/>
          <w:bCs/>
          <w:i/>
          <w:iCs/>
          <w:sz w:val="20"/>
          <w:szCs w:val="18"/>
          <w:lang w:val="en-GB"/>
        </w:rPr>
      </w:pPr>
      <w:r w:rsidRPr="00933DE8">
        <w:rPr>
          <w:b w:val="0"/>
          <w:bCs/>
          <w:i/>
          <w:iCs/>
          <w:sz w:val="20"/>
          <w:szCs w:val="18"/>
          <w:lang w:val="en-GB"/>
        </w:rPr>
        <w:t>Operating costs</w:t>
      </w:r>
      <w:r w:rsidR="00BA6344" w:rsidRPr="00933DE8">
        <w:rPr>
          <w:b w:val="0"/>
          <w:bCs/>
          <w:i/>
          <w:iCs/>
          <w:sz w:val="20"/>
          <w:szCs w:val="18"/>
          <w:lang w:val="en-GB"/>
        </w:rPr>
        <w:t xml:space="preserve"> (</w:t>
      </w:r>
      <w:r w:rsidRPr="00933DE8">
        <w:rPr>
          <w:b w:val="0"/>
          <w:bCs/>
          <w:i/>
          <w:iCs/>
          <w:sz w:val="20"/>
          <w:szCs w:val="18"/>
          <w:lang w:val="en-GB"/>
        </w:rPr>
        <w:t>OPEX</w:t>
      </w:r>
      <w:r w:rsidR="00BA6344" w:rsidRPr="00933DE8">
        <w:rPr>
          <w:b w:val="0"/>
          <w:bCs/>
          <w:i/>
          <w:iCs/>
          <w:sz w:val="20"/>
          <w:szCs w:val="18"/>
          <w:lang w:val="en-GB"/>
        </w:rPr>
        <w:t>)</w:t>
      </w:r>
    </w:p>
    <w:p w14:paraId="1312BBC4" w14:textId="51916B88" w:rsidR="00316E5F" w:rsidRDefault="00935BCE" w:rsidP="00834804">
      <w:pPr>
        <w:pStyle w:val="Els-body-text"/>
        <w:rPr>
          <w:lang w:val="en-GB"/>
        </w:rPr>
      </w:pPr>
      <w:r>
        <w:rPr>
          <w:lang w:val="en-GB"/>
        </w:rPr>
        <w:t xml:space="preserve">The OPEX </w:t>
      </w:r>
      <w:r w:rsidR="00813F37">
        <w:rPr>
          <w:lang w:val="en-GB"/>
        </w:rPr>
        <w:t xml:space="preserve">(Costs of Manufacturing – COM) </w:t>
      </w:r>
      <w:r w:rsidR="00B853B7">
        <w:rPr>
          <w:lang w:val="en-GB"/>
        </w:rPr>
        <w:t>were</w:t>
      </w:r>
      <w:r>
        <w:rPr>
          <w:lang w:val="en-GB"/>
        </w:rPr>
        <w:t xml:space="preserve"> calculated </w:t>
      </w:r>
      <w:r w:rsidR="00F932FB">
        <w:rPr>
          <w:lang w:val="en-GB"/>
        </w:rPr>
        <w:t xml:space="preserve">based on </w:t>
      </w:r>
      <w:r>
        <w:rPr>
          <w:lang w:val="en-GB"/>
        </w:rPr>
        <w:t>Turton</w:t>
      </w:r>
      <w:r w:rsidR="00B756BD">
        <w:rPr>
          <w:lang w:val="en-GB"/>
        </w:rPr>
        <w:t>’s work (</w:t>
      </w:r>
      <w:r>
        <w:rPr>
          <w:lang w:val="en-GB"/>
        </w:rPr>
        <w:t>2018)</w:t>
      </w:r>
      <w:r w:rsidR="00813F37">
        <w:rPr>
          <w:lang w:val="en-GB"/>
        </w:rPr>
        <w:t xml:space="preserve">, </w:t>
      </w:r>
      <w:r w:rsidR="00C31A22">
        <w:rPr>
          <w:lang w:val="en-GB"/>
        </w:rPr>
        <w:t>as given in</w:t>
      </w:r>
      <w:r w:rsidR="00B853B7">
        <w:rPr>
          <w:lang w:val="en-GB"/>
        </w:rPr>
        <w:t xml:space="preserve"> Equation 1, </w:t>
      </w:r>
      <w:r w:rsidR="00813F37">
        <w:rPr>
          <w:lang w:val="en-GB"/>
        </w:rPr>
        <w:t>where FCI is the total investment cost, C</w:t>
      </w:r>
      <w:r w:rsidR="00813F37" w:rsidRPr="00813F37">
        <w:rPr>
          <w:vertAlign w:val="subscript"/>
          <w:lang w:val="en-GB"/>
        </w:rPr>
        <w:t>OL</w:t>
      </w:r>
      <w:r w:rsidR="00813F37">
        <w:rPr>
          <w:lang w:val="en-GB"/>
        </w:rPr>
        <w:t xml:space="preserve"> is the operating labour cost, C</w:t>
      </w:r>
      <w:r w:rsidR="00813F37" w:rsidRPr="00813F37">
        <w:rPr>
          <w:vertAlign w:val="subscript"/>
          <w:lang w:val="en-GB"/>
        </w:rPr>
        <w:t>UT</w:t>
      </w:r>
      <w:r w:rsidR="00813F37">
        <w:rPr>
          <w:lang w:val="en-GB"/>
        </w:rPr>
        <w:t>, C</w:t>
      </w:r>
      <w:r w:rsidR="00813F37" w:rsidRPr="00813F37">
        <w:rPr>
          <w:vertAlign w:val="subscript"/>
          <w:lang w:val="en-GB"/>
        </w:rPr>
        <w:t>RM</w:t>
      </w:r>
      <w:r w:rsidR="00813F37">
        <w:rPr>
          <w:lang w:val="en-GB"/>
        </w:rPr>
        <w:t xml:space="preserve"> and C</w:t>
      </w:r>
      <w:r w:rsidR="00813F37" w:rsidRPr="00813F37">
        <w:rPr>
          <w:vertAlign w:val="subscript"/>
          <w:lang w:val="en-GB"/>
        </w:rPr>
        <w:t>WT</w:t>
      </w:r>
      <w:r w:rsidR="00813F37">
        <w:rPr>
          <w:lang w:val="en-GB"/>
        </w:rPr>
        <w:t xml:space="preserve"> are the total utility, raw </w:t>
      </w:r>
      <w:proofErr w:type="gramStart"/>
      <w:r w:rsidR="00813F37">
        <w:rPr>
          <w:lang w:val="en-GB"/>
        </w:rPr>
        <w:t>material</w:t>
      </w:r>
      <w:proofErr w:type="gramEnd"/>
      <w:r w:rsidR="00813F37">
        <w:rPr>
          <w:lang w:val="en-GB"/>
        </w:rPr>
        <w:t xml:space="preserve"> and waste treatment cost</w:t>
      </w:r>
      <w:r w:rsidR="00C31A22">
        <w:rPr>
          <w:lang w:val="en-GB"/>
        </w:rPr>
        <w:t>s</w:t>
      </w:r>
      <w:r>
        <w:rPr>
          <w:lang w:val="en-GB"/>
        </w:rPr>
        <w:t xml:space="preserve">. </w:t>
      </w:r>
      <w:r w:rsidR="00813F37">
        <w:rPr>
          <w:lang w:val="en-GB"/>
        </w:rPr>
        <w:t>For simplicity, the C</w:t>
      </w:r>
      <w:r w:rsidR="00813F37" w:rsidRPr="00813F37">
        <w:rPr>
          <w:vertAlign w:val="subscript"/>
          <w:lang w:val="en-GB"/>
        </w:rPr>
        <w:t>WT</w:t>
      </w:r>
      <w:r w:rsidR="00813F37">
        <w:rPr>
          <w:lang w:val="en-GB"/>
        </w:rPr>
        <w:t xml:space="preserve"> term </w:t>
      </w:r>
      <w:r w:rsidR="00C31A22">
        <w:rPr>
          <w:lang w:val="en-GB"/>
        </w:rPr>
        <w:t>was</w:t>
      </w:r>
      <w:r w:rsidR="00813F37">
        <w:rPr>
          <w:lang w:val="en-GB"/>
        </w:rPr>
        <w:t xml:space="preserve"> neglected.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0"/>
      </w:tblGrid>
      <w:tr w:rsidR="00316E5F" w14:paraId="5DA464E8" w14:textId="77777777" w:rsidTr="0013047C">
        <w:tc>
          <w:tcPr>
            <w:tcW w:w="6516" w:type="dxa"/>
          </w:tcPr>
          <w:p w14:paraId="5E25C3E9" w14:textId="0B4B8963" w:rsidR="00316E5F" w:rsidRPr="002F54B1" w:rsidRDefault="002F54B1" w:rsidP="0013047C">
            <w:pPr>
              <w:pStyle w:val="Els-body-text"/>
              <w:spacing w:before="80" w:after="80"/>
              <w:rPr>
                <w:iCs/>
                <w:lang w:val="en-GB"/>
              </w:rPr>
            </w:pPr>
            <m:oMathPara>
              <m:oMathParaPr>
                <m:jc m:val="left"/>
              </m:oMathParaPr>
              <m:oMath>
                <m:r>
                  <m:rPr>
                    <m:sty m:val="p"/>
                  </m:rPr>
                  <w:rPr>
                    <w:rFonts w:ascii="Cambria Math" w:hAnsi="Cambria Math"/>
                    <w:lang w:val="en-GB"/>
                  </w:rPr>
                  <m:t>COM=0.28⋅FCI+2.73⋅</m:t>
                </m:r>
                <m:sSub>
                  <m:sSubPr>
                    <m:ctrlPr>
                      <w:rPr>
                        <w:rFonts w:ascii="Cambria Math" w:hAnsi="Cambria Math"/>
                        <w:iCs/>
                        <w:lang w:val="en-GB"/>
                      </w:rPr>
                    </m:ctrlPr>
                  </m:sSubPr>
                  <m:e>
                    <m:r>
                      <m:rPr>
                        <m:sty m:val="p"/>
                      </m:rPr>
                      <w:rPr>
                        <w:rFonts w:ascii="Cambria Math" w:hAnsi="Cambria Math"/>
                        <w:lang w:val="en-GB"/>
                      </w:rPr>
                      <m:t>C</m:t>
                    </m:r>
                  </m:e>
                  <m:sub>
                    <m:r>
                      <m:rPr>
                        <m:sty m:val="p"/>
                      </m:rPr>
                      <w:rPr>
                        <w:rFonts w:ascii="Cambria Math" w:hAnsi="Cambria Math"/>
                        <w:lang w:val="en-GB"/>
                      </w:rPr>
                      <m:t>OL</m:t>
                    </m:r>
                  </m:sub>
                </m:sSub>
                <m:r>
                  <m:rPr>
                    <m:sty m:val="p"/>
                  </m:rPr>
                  <w:rPr>
                    <w:rFonts w:ascii="Cambria Math" w:hAnsi="Cambria Math"/>
                    <w:lang w:val="en-GB"/>
                  </w:rPr>
                  <m:t>+1.23⋅(</m:t>
                </m:r>
                <m:sSub>
                  <m:sSubPr>
                    <m:ctrlPr>
                      <w:rPr>
                        <w:rFonts w:ascii="Cambria Math" w:hAnsi="Cambria Math"/>
                        <w:iCs/>
                        <w:lang w:val="en-GB"/>
                      </w:rPr>
                    </m:ctrlPr>
                  </m:sSubPr>
                  <m:e>
                    <m:r>
                      <m:rPr>
                        <m:sty m:val="p"/>
                      </m:rPr>
                      <w:rPr>
                        <w:rFonts w:ascii="Cambria Math" w:hAnsi="Cambria Math"/>
                        <w:lang w:val="en-GB"/>
                      </w:rPr>
                      <m:t>C</m:t>
                    </m:r>
                  </m:e>
                  <m:sub>
                    <m:r>
                      <m:rPr>
                        <m:sty m:val="p"/>
                      </m:rPr>
                      <w:rPr>
                        <w:rFonts w:ascii="Cambria Math" w:hAnsi="Cambria Math"/>
                        <w:lang w:val="en-GB"/>
                      </w:rPr>
                      <m:t>UT</m:t>
                    </m:r>
                  </m:sub>
                </m:sSub>
                <m:r>
                  <m:rPr>
                    <m:sty m:val="p"/>
                  </m:rPr>
                  <w:rPr>
                    <w:rFonts w:ascii="Cambria Math" w:hAnsi="Cambria Math"/>
                    <w:lang w:val="en-GB"/>
                  </w:rPr>
                  <m:t>+</m:t>
                </m:r>
                <m:sSub>
                  <m:sSubPr>
                    <m:ctrlPr>
                      <w:rPr>
                        <w:rFonts w:ascii="Cambria Math" w:hAnsi="Cambria Math"/>
                        <w:iCs/>
                        <w:lang w:val="en-GB"/>
                      </w:rPr>
                    </m:ctrlPr>
                  </m:sSubPr>
                  <m:e>
                    <m:r>
                      <m:rPr>
                        <m:sty m:val="p"/>
                      </m:rPr>
                      <w:rPr>
                        <w:rFonts w:ascii="Cambria Math" w:hAnsi="Cambria Math"/>
                        <w:lang w:val="en-GB"/>
                      </w:rPr>
                      <m:t>C</m:t>
                    </m:r>
                  </m:e>
                  <m:sub>
                    <m:r>
                      <m:rPr>
                        <m:sty m:val="p"/>
                      </m:rPr>
                      <w:rPr>
                        <w:rFonts w:ascii="Cambria Math" w:hAnsi="Cambria Math"/>
                        <w:lang w:val="en-GB"/>
                      </w:rPr>
                      <m:t>RM</m:t>
                    </m:r>
                  </m:sub>
                </m:sSub>
                <m:r>
                  <m:rPr>
                    <m:sty m:val="p"/>
                  </m:rPr>
                  <w:rPr>
                    <w:rFonts w:ascii="Cambria Math" w:hAnsi="Cambria Math"/>
                    <w:lang w:val="en-GB"/>
                  </w:rPr>
                  <m:t>+</m:t>
                </m:r>
                <m:sSub>
                  <m:sSubPr>
                    <m:ctrlPr>
                      <w:rPr>
                        <w:rFonts w:ascii="Cambria Math" w:hAnsi="Cambria Math"/>
                        <w:iCs/>
                        <w:lang w:val="en-GB"/>
                      </w:rPr>
                    </m:ctrlPr>
                  </m:sSubPr>
                  <m:e>
                    <m:r>
                      <m:rPr>
                        <m:sty m:val="p"/>
                      </m:rPr>
                      <w:rPr>
                        <w:rFonts w:ascii="Cambria Math" w:hAnsi="Cambria Math"/>
                        <w:lang w:val="en-GB"/>
                      </w:rPr>
                      <m:t>C</m:t>
                    </m:r>
                  </m:e>
                  <m:sub>
                    <m:r>
                      <m:rPr>
                        <m:sty m:val="p"/>
                      </m:rPr>
                      <w:rPr>
                        <w:rFonts w:ascii="Cambria Math" w:hAnsi="Cambria Math"/>
                        <w:lang w:val="en-GB"/>
                      </w:rPr>
                      <m:t>WT</m:t>
                    </m:r>
                  </m:sub>
                </m:sSub>
                <m:r>
                  <m:rPr>
                    <m:sty m:val="p"/>
                  </m:rPr>
                  <w:rPr>
                    <w:rFonts w:ascii="Cambria Math" w:hAnsi="Cambria Math"/>
                    <w:lang w:val="en-GB"/>
                  </w:rPr>
                  <m:t>)</m:t>
                </m:r>
              </m:oMath>
            </m:oMathPara>
          </w:p>
        </w:tc>
        <w:tc>
          <w:tcPr>
            <w:tcW w:w="560" w:type="dxa"/>
          </w:tcPr>
          <w:p w14:paraId="69D9A539" w14:textId="735F5A61" w:rsidR="00316E5F" w:rsidRDefault="00316E5F" w:rsidP="0013047C">
            <w:pPr>
              <w:pStyle w:val="Els-body-text"/>
              <w:spacing w:before="80" w:after="80"/>
              <w:jc w:val="right"/>
              <w:rPr>
                <w:lang w:val="en-GB"/>
              </w:rPr>
            </w:pPr>
            <w:r>
              <w:rPr>
                <w:lang w:val="en-GB"/>
              </w:rPr>
              <w:t>(1)</w:t>
            </w:r>
          </w:p>
        </w:tc>
      </w:tr>
    </w:tbl>
    <w:p w14:paraId="51B93713" w14:textId="4DA6E9C1" w:rsidR="005005E3" w:rsidRPr="00834804" w:rsidRDefault="00834804" w:rsidP="00834804">
      <w:pPr>
        <w:pStyle w:val="Els-body-text"/>
        <w:rPr>
          <w:lang w:val="en-GB"/>
        </w:rPr>
      </w:pPr>
      <w:r>
        <w:rPr>
          <w:lang w:val="en-GB"/>
        </w:rPr>
        <w:t>The cost</w:t>
      </w:r>
      <w:r w:rsidR="008912D5">
        <w:rPr>
          <w:lang w:val="en-GB"/>
        </w:rPr>
        <w:t>s</w:t>
      </w:r>
      <w:r>
        <w:rPr>
          <w:lang w:val="en-GB"/>
        </w:rPr>
        <w:t xml:space="preserve"> </w:t>
      </w:r>
      <w:r w:rsidR="00FB6CA4">
        <w:rPr>
          <w:lang w:val="en-GB"/>
        </w:rPr>
        <w:t>of</w:t>
      </w:r>
      <w:r>
        <w:rPr>
          <w:lang w:val="en-GB"/>
        </w:rPr>
        <w:t xml:space="preserve"> the </w:t>
      </w:r>
      <w:r w:rsidR="003364DC">
        <w:rPr>
          <w:lang w:val="en-GB"/>
        </w:rPr>
        <w:t>consumables</w:t>
      </w:r>
      <w:r w:rsidR="00F51380">
        <w:rPr>
          <w:lang w:val="en-GB"/>
        </w:rPr>
        <w:t xml:space="preserve"> and </w:t>
      </w:r>
      <w:r w:rsidR="00FB6CA4">
        <w:rPr>
          <w:lang w:val="en-GB"/>
        </w:rPr>
        <w:t>utilities</w:t>
      </w:r>
      <w:r w:rsidR="00F51380">
        <w:rPr>
          <w:lang w:val="en-GB"/>
        </w:rPr>
        <w:t xml:space="preserve"> </w:t>
      </w:r>
      <w:r w:rsidR="00C31A22">
        <w:rPr>
          <w:lang w:val="en-GB"/>
        </w:rPr>
        <w:t>we</w:t>
      </w:r>
      <w:r w:rsidR="008912D5">
        <w:rPr>
          <w:lang w:val="en-GB"/>
        </w:rPr>
        <w:t>re</w:t>
      </w:r>
      <w:r w:rsidR="000B41E4">
        <w:rPr>
          <w:lang w:val="en-GB"/>
        </w:rPr>
        <w:t xml:space="preserve"> retrieved from </w:t>
      </w:r>
      <w:r w:rsidR="008912D5">
        <w:rPr>
          <w:lang w:val="en-GB"/>
        </w:rPr>
        <w:t>prior</w:t>
      </w:r>
      <w:r w:rsidR="000B41E4">
        <w:rPr>
          <w:lang w:val="en-GB"/>
        </w:rPr>
        <w:t xml:space="preserve"> literature</w:t>
      </w:r>
      <w:r w:rsidR="0014692F">
        <w:rPr>
          <w:lang w:val="en-GB"/>
        </w:rPr>
        <w:t xml:space="preserve"> for hydrogen</w:t>
      </w:r>
      <w:r w:rsidR="000B41E4">
        <w:rPr>
          <w:lang w:val="en-GB"/>
        </w:rPr>
        <w:t xml:space="preserve"> (</w:t>
      </w:r>
      <w:r w:rsidR="008912D5">
        <w:rPr>
          <w:lang w:val="en-GB"/>
        </w:rPr>
        <w:t>Arcos and Santos, 2023</w:t>
      </w:r>
      <w:r w:rsidR="0014692F">
        <w:rPr>
          <w:lang w:val="en-GB"/>
        </w:rPr>
        <w:t>) and part of the consumables</w:t>
      </w:r>
      <w:r w:rsidR="008912D5">
        <w:rPr>
          <w:lang w:val="en-GB"/>
        </w:rPr>
        <w:t xml:space="preserve"> </w:t>
      </w:r>
      <w:r w:rsidR="0014692F">
        <w:rPr>
          <w:lang w:val="en-GB"/>
        </w:rPr>
        <w:t>(</w:t>
      </w:r>
      <w:r w:rsidR="008912D5">
        <w:rPr>
          <w:lang w:val="en-GB"/>
        </w:rPr>
        <w:t>Bbosa et al</w:t>
      </w:r>
      <w:r w:rsidR="00C31A22">
        <w:rPr>
          <w:lang w:val="en-GB"/>
        </w:rPr>
        <w:t>.</w:t>
      </w:r>
      <w:r w:rsidR="008912D5">
        <w:rPr>
          <w:lang w:val="en-GB"/>
        </w:rPr>
        <w:t>, 2018</w:t>
      </w:r>
      <w:r w:rsidR="000B41E4">
        <w:rPr>
          <w:lang w:val="en-GB"/>
        </w:rPr>
        <w:t>)</w:t>
      </w:r>
      <w:r w:rsidR="0014692F">
        <w:rPr>
          <w:lang w:val="en-GB"/>
        </w:rPr>
        <w:t>.</w:t>
      </w:r>
      <w:r>
        <w:rPr>
          <w:lang w:val="en-GB"/>
        </w:rPr>
        <w:t xml:space="preserve"> </w:t>
      </w:r>
      <w:r w:rsidR="0014692F">
        <w:rPr>
          <w:lang w:val="en-GB"/>
        </w:rPr>
        <w:t>The</w:t>
      </w:r>
      <w:r w:rsidR="00E30A33">
        <w:rPr>
          <w:lang w:val="en-GB"/>
        </w:rPr>
        <w:t xml:space="preserve"> remaining values</w:t>
      </w:r>
      <w:r w:rsidR="00AC7712">
        <w:rPr>
          <w:lang w:val="en-GB"/>
        </w:rPr>
        <w:t xml:space="preserve"> were retrieved from</w:t>
      </w:r>
      <w:r w:rsidR="000B41E4">
        <w:rPr>
          <w:lang w:val="en-GB"/>
        </w:rPr>
        <w:t xml:space="preserve"> </w:t>
      </w:r>
      <w:r w:rsidR="000B41E4" w:rsidRPr="007107D7">
        <w:rPr>
          <w:lang w:val="en-GB"/>
        </w:rPr>
        <w:t>databases (</w:t>
      </w:r>
      <w:r w:rsidR="0014692F" w:rsidRPr="0014692F">
        <w:t>https://ceskdata.com/</w:t>
      </w:r>
      <w:r w:rsidR="000B41E4" w:rsidRPr="007107D7">
        <w:rPr>
          <w:lang w:val="en-GB"/>
        </w:rPr>
        <w:t>).</w:t>
      </w:r>
    </w:p>
    <w:p w14:paraId="4FC70A03" w14:textId="36BAC6F9" w:rsidR="009878A8" w:rsidRPr="00933DE8" w:rsidRDefault="009878A8" w:rsidP="008F3DF2">
      <w:pPr>
        <w:pStyle w:val="Els-1storder-head"/>
        <w:numPr>
          <w:ilvl w:val="2"/>
          <w:numId w:val="19"/>
        </w:numPr>
        <w:spacing w:before="120" w:after="120"/>
        <w:ind w:left="567" w:hanging="567"/>
        <w:rPr>
          <w:b w:val="0"/>
          <w:bCs/>
          <w:i/>
          <w:iCs/>
          <w:sz w:val="20"/>
          <w:szCs w:val="18"/>
          <w:lang w:val="en-GB"/>
        </w:rPr>
      </w:pPr>
      <w:r w:rsidRPr="00933DE8">
        <w:rPr>
          <w:b w:val="0"/>
          <w:bCs/>
          <w:i/>
          <w:iCs/>
          <w:sz w:val="20"/>
          <w:szCs w:val="18"/>
          <w:lang w:val="en-GB"/>
        </w:rPr>
        <w:t xml:space="preserve">Cash flow and </w:t>
      </w:r>
      <w:r w:rsidR="00271CF6">
        <w:rPr>
          <w:b w:val="0"/>
          <w:bCs/>
          <w:i/>
          <w:iCs/>
          <w:sz w:val="20"/>
          <w:szCs w:val="18"/>
          <w:lang w:val="en-GB"/>
        </w:rPr>
        <w:t>internal rate of return (IRR)</w:t>
      </w:r>
    </w:p>
    <w:p w14:paraId="330023C8" w14:textId="3A7A3CF1" w:rsidR="00F51380" w:rsidRDefault="0021196F" w:rsidP="001B71DC">
      <w:pPr>
        <w:pStyle w:val="Els-body-text"/>
        <w:rPr>
          <w:lang w:val="en-GB"/>
        </w:rPr>
      </w:pPr>
      <w:r>
        <w:rPr>
          <w:lang w:val="en-GB"/>
        </w:rPr>
        <w:t xml:space="preserve">For the </w:t>
      </w:r>
      <w:r w:rsidR="00A22016">
        <w:rPr>
          <w:lang w:val="en-GB"/>
        </w:rPr>
        <w:t>discounted cash flow,</w:t>
      </w:r>
      <w:r>
        <w:rPr>
          <w:lang w:val="en-GB"/>
        </w:rPr>
        <w:t xml:space="preserve"> we assume</w:t>
      </w:r>
      <w:r w:rsidR="00CE54FE">
        <w:rPr>
          <w:lang w:val="en-GB"/>
        </w:rPr>
        <w:t>d</w:t>
      </w:r>
      <w:r>
        <w:rPr>
          <w:lang w:val="en-GB"/>
        </w:rPr>
        <w:t xml:space="preserve"> a </w:t>
      </w:r>
      <w:r w:rsidR="00A22016">
        <w:rPr>
          <w:lang w:val="en-GB"/>
        </w:rPr>
        <w:t>minimum acceptable target</w:t>
      </w:r>
      <w:r>
        <w:rPr>
          <w:lang w:val="en-GB"/>
        </w:rPr>
        <w:t xml:space="preserve"> value of 12% for the internal rate of return (IRR) and </w:t>
      </w:r>
      <w:r w:rsidR="00303422">
        <w:rPr>
          <w:lang w:val="en-GB"/>
        </w:rPr>
        <w:t>30% taxation on the revenues.</w:t>
      </w:r>
      <w:r w:rsidR="00291C49" w:rsidRPr="00291C49">
        <w:t xml:space="preserve"> </w:t>
      </w:r>
      <w:r w:rsidR="00291C49" w:rsidRPr="00291C49">
        <w:rPr>
          <w:lang w:val="en-GB"/>
        </w:rPr>
        <w:t>IRR is a discount rate that makes the net present value (NPV) of all cash flows equal to zero.</w:t>
      </w:r>
    </w:p>
    <w:p w14:paraId="15490E4C" w14:textId="11D668FF" w:rsidR="00D04B4F" w:rsidRPr="00F654B1" w:rsidRDefault="00D04B4F" w:rsidP="007A1DC6">
      <w:pPr>
        <w:pStyle w:val="Els-1storder-head"/>
        <w:numPr>
          <w:ilvl w:val="1"/>
          <w:numId w:val="19"/>
        </w:numPr>
        <w:spacing w:before="120" w:after="120"/>
        <w:ind w:left="357" w:hanging="357"/>
        <w:rPr>
          <w:b w:val="0"/>
          <w:bCs/>
          <w:i/>
          <w:iCs/>
          <w:sz w:val="20"/>
          <w:szCs w:val="18"/>
          <w:lang w:val="en-GB"/>
        </w:rPr>
      </w:pPr>
      <w:bookmarkStart w:id="2" w:name="_Ref150500832"/>
      <w:r w:rsidRPr="00F654B1">
        <w:rPr>
          <w:b w:val="0"/>
          <w:bCs/>
          <w:i/>
          <w:iCs/>
          <w:sz w:val="20"/>
          <w:szCs w:val="18"/>
          <w:lang w:val="en-GB"/>
        </w:rPr>
        <w:t>Sensitivity analysis</w:t>
      </w:r>
      <w:bookmarkEnd w:id="2"/>
    </w:p>
    <w:p w14:paraId="6119FC3E" w14:textId="054A4710" w:rsidR="008F3C8A" w:rsidRDefault="00D04B4F" w:rsidP="00A16F43">
      <w:pPr>
        <w:pStyle w:val="Els-body-text"/>
        <w:rPr>
          <w:lang w:val="en-GB"/>
        </w:rPr>
      </w:pPr>
      <w:r>
        <w:rPr>
          <w:lang w:val="en-GB"/>
        </w:rPr>
        <w:t>A</w:t>
      </w:r>
      <w:r w:rsidR="00F043B8">
        <w:rPr>
          <w:lang w:val="en-GB"/>
        </w:rPr>
        <w:t xml:space="preserve"> sensitivity analysis </w:t>
      </w:r>
      <w:r w:rsidR="003B7178">
        <w:rPr>
          <w:lang w:val="en-GB"/>
        </w:rPr>
        <w:t>wa</w:t>
      </w:r>
      <w:r w:rsidR="00F043B8">
        <w:rPr>
          <w:lang w:val="en-GB"/>
        </w:rPr>
        <w:t xml:space="preserve">s performed to </w:t>
      </w:r>
      <w:r w:rsidR="001B5E6B">
        <w:rPr>
          <w:lang w:val="en-GB"/>
        </w:rPr>
        <w:t xml:space="preserve">gain insight </w:t>
      </w:r>
      <w:r w:rsidR="00400D2D">
        <w:rPr>
          <w:lang w:val="en-GB"/>
        </w:rPr>
        <w:t xml:space="preserve">into </w:t>
      </w:r>
      <w:r w:rsidR="00E2097B">
        <w:rPr>
          <w:lang w:val="en-GB"/>
        </w:rPr>
        <w:t xml:space="preserve">the </w:t>
      </w:r>
      <w:r w:rsidR="00A54D58">
        <w:rPr>
          <w:lang w:val="en-GB"/>
        </w:rPr>
        <w:t>biorefinery</w:t>
      </w:r>
      <w:r w:rsidR="00400D2D">
        <w:rPr>
          <w:lang w:val="en-GB"/>
        </w:rPr>
        <w:t>’s</w:t>
      </w:r>
      <w:r w:rsidR="00A54D58">
        <w:rPr>
          <w:lang w:val="en-GB"/>
        </w:rPr>
        <w:t xml:space="preserve"> performance</w:t>
      </w:r>
      <w:r w:rsidR="00E2097B">
        <w:rPr>
          <w:lang w:val="en-GB"/>
        </w:rPr>
        <w:t xml:space="preserve"> under </w:t>
      </w:r>
      <w:r w:rsidR="00400D2D">
        <w:rPr>
          <w:lang w:val="en-GB"/>
        </w:rPr>
        <w:t xml:space="preserve">various </w:t>
      </w:r>
      <w:r w:rsidR="00943EE0">
        <w:rPr>
          <w:lang w:val="en-GB"/>
        </w:rPr>
        <w:t>case studies</w:t>
      </w:r>
      <w:r w:rsidR="008F3C8A">
        <w:rPr>
          <w:lang w:val="en-GB"/>
        </w:rPr>
        <w:t xml:space="preserve"> (CS</w:t>
      </w:r>
      <w:r w:rsidR="008F3C8A" w:rsidRPr="3B241036">
        <w:rPr>
          <w:lang w:val="en-GB"/>
        </w:rPr>
        <w:t>)</w:t>
      </w:r>
      <w:r w:rsidR="00645DA2" w:rsidRPr="3B241036">
        <w:rPr>
          <w:lang w:val="en-GB"/>
        </w:rPr>
        <w:t>.</w:t>
      </w:r>
      <w:r w:rsidR="008F3C8A">
        <w:rPr>
          <w:lang w:val="en-GB"/>
        </w:rPr>
        <w:t xml:space="preserve"> We define</w:t>
      </w:r>
      <w:r w:rsidR="00400D2D">
        <w:rPr>
          <w:lang w:val="en-GB"/>
        </w:rPr>
        <w:t>d</w:t>
      </w:r>
      <w:r w:rsidR="008F3C8A">
        <w:rPr>
          <w:lang w:val="en-GB"/>
        </w:rPr>
        <w:t xml:space="preserve"> the process with air combustion</w:t>
      </w:r>
      <w:r w:rsidR="0004661F" w:rsidRPr="0004661F">
        <w:rPr>
          <w:lang w:val="en-GB"/>
        </w:rPr>
        <w:t xml:space="preserve"> </w:t>
      </w:r>
      <w:r w:rsidR="00566802">
        <w:rPr>
          <w:lang w:val="en-GB"/>
        </w:rPr>
        <w:t xml:space="preserve">of biochar </w:t>
      </w:r>
      <w:r w:rsidR="0004661F">
        <w:rPr>
          <w:lang w:val="en-GB"/>
        </w:rPr>
        <w:t>as the baseline</w:t>
      </w:r>
      <w:r w:rsidR="00566802">
        <w:rPr>
          <w:lang w:val="en-GB"/>
        </w:rPr>
        <w:t xml:space="preserve"> scenario (CS1)</w:t>
      </w:r>
      <w:r w:rsidR="00284116">
        <w:rPr>
          <w:lang w:val="en-GB"/>
        </w:rPr>
        <w:t>.</w:t>
      </w:r>
      <w:r w:rsidR="009A05A6">
        <w:rPr>
          <w:lang w:val="en-GB"/>
        </w:rPr>
        <w:t xml:space="preserve"> </w:t>
      </w:r>
      <w:r w:rsidR="00B7093A">
        <w:rPr>
          <w:lang w:val="en-GB"/>
        </w:rPr>
        <w:t xml:space="preserve">For biochar combustion, either </w:t>
      </w:r>
      <w:r w:rsidR="002015CE">
        <w:rPr>
          <w:lang w:val="en-GB"/>
        </w:rPr>
        <w:t xml:space="preserve">air </w:t>
      </w:r>
      <w:r w:rsidR="000B636C">
        <w:rPr>
          <w:lang w:val="en-GB"/>
        </w:rPr>
        <w:t xml:space="preserve">or </w:t>
      </w:r>
      <w:proofErr w:type="gramStart"/>
      <w:r w:rsidR="000B636C">
        <w:rPr>
          <w:lang w:val="en-GB"/>
        </w:rPr>
        <w:t>o</w:t>
      </w:r>
      <w:r w:rsidR="0037385A">
        <w:rPr>
          <w:lang w:val="en-GB"/>
        </w:rPr>
        <w:t>xy-combustion</w:t>
      </w:r>
      <w:proofErr w:type="gramEnd"/>
      <w:r w:rsidR="00CB2D43">
        <w:rPr>
          <w:lang w:val="en-GB"/>
        </w:rPr>
        <w:t xml:space="preserve"> </w:t>
      </w:r>
      <w:r w:rsidR="0037385A">
        <w:rPr>
          <w:lang w:val="en-GB"/>
        </w:rPr>
        <w:t xml:space="preserve">was </w:t>
      </w:r>
      <w:r w:rsidR="00362A80">
        <w:rPr>
          <w:lang w:val="en-GB"/>
        </w:rPr>
        <w:t>considered</w:t>
      </w:r>
      <w:r w:rsidR="00550AFB">
        <w:rPr>
          <w:lang w:val="en-GB"/>
        </w:rPr>
        <w:t>. For oxy-combustion,</w:t>
      </w:r>
      <w:r w:rsidR="00177E29">
        <w:rPr>
          <w:lang w:val="en-GB"/>
        </w:rPr>
        <w:t xml:space="preserve"> the </w:t>
      </w:r>
      <w:r w:rsidR="00177E29" w:rsidRPr="00177E29">
        <w:rPr>
          <w:lang w:val="en-GB"/>
        </w:rPr>
        <w:t xml:space="preserve">pure </w:t>
      </w:r>
      <w:r w:rsidR="00550AFB" w:rsidRPr="00550AFB">
        <w:rPr>
          <w:lang w:val="en-GB"/>
        </w:rPr>
        <w:t>O</w:t>
      </w:r>
      <w:r w:rsidR="00550AFB" w:rsidRPr="00550AFB">
        <w:rPr>
          <w:vertAlign w:val="subscript"/>
          <w:lang w:val="en-GB"/>
        </w:rPr>
        <w:t>2</w:t>
      </w:r>
      <w:r w:rsidR="00177E29" w:rsidRPr="00177E29">
        <w:rPr>
          <w:lang w:val="en-GB"/>
        </w:rPr>
        <w:t xml:space="preserve"> was </w:t>
      </w:r>
      <w:r w:rsidR="00177E29">
        <w:rPr>
          <w:lang w:val="en-GB"/>
        </w:rPr>
        <w:t xml:space="preserve">either </w:t>
      </w:r>
      <w:r w:rsidR="00177E29" w:rsidRPr="00177E29">
        <w:rPr>
          <w:lang w:val="en-GB"/>
        </w:rPr>
        <w:t>co-produced with green-H</w:t>
      </w:r>
      <w:r w:rsidR="00177E29" w:rsidRPr="00177E29">
        <w:rPr>
          <w:vertAlign w:val="subscript"/>
          <w:lang w:val="en-GB"/>
        </w:rPr>
        <w:t>2</w:t>
      </w:r>
      <w:r w:rsidR="00F4671A">
        <w:rPr>
          <w:lang w:val="en-GB"/>
        </w:rPr>
        <w:t>,</w:t>
      </w:r>
      <w:r w:rsidR="00177E29" w:rsidRPr="00177E29">
        <w:rPr>
          <w:lang w:val="en-GB"/>
        </w:rPr>
        <w:t xml:space="preserve"> </w:t>
      </w:r>
      <w:r w:rsidR="00083951">
        <w:rPr>
          <w:lang w:val="en-GB"/>
        </w:rPr>
        <w:t xml:space="preserve">via </w:t>
      </w:r>
      <w:r w:rsidR="00177E29" w:rsidRPr="000E7AF0">
        <w:rPr>
          <w:lang w:val="en-GB"/>
        </w:rPr>
        <w:t>water splitting with electrolysis</w:t>
      </w:r>
      <w:r w:rsidR="00F4671A">
        <w:rPr>
          <w:lang w:val="en-GB"/>
        </w:rPr>
        <w:t>,</w:t>
      </w:r>
      <w:r w:rsidR="00177E29" w:rsidRPr="000E7AF0">
        <w:rPr>
          <w:lang w:val="en-GB"/>
        </w:rPr>
        <w:t xml:space="preserve"> </w:t>
      </w:r>
      <w:r w:rsidR="00177E29">
        <w:rPr>
          <w:lang w:val="en-GB"/>
        </w:rPr>
        <w:t xml:space="preserve">or </w:t>
      </w:r>
      <w:r w:rsidR="000E7AF0">
        <w:rPr>
          <w:lang w:val="en-GB"/>
        </w:rPr>
        <w:t xml:space="preserve">obtained from an </w:t>
      </w:r>
      <w:r w:rsidR="000E7AF0" w:rsidRPr="000E7AF0">
        <w:rPr>
          <w:lang w:val="en-GB"/>
        </w:rPr>
        <w:t>Air Separation Unit</w:t>
      </w:r>
      <w:r w:rsidR="000E7AF0">
        <w:rPr>
          <w:lang w:val="en-GB"/>
        </w:rPr>
        <w:t xml:space="preserve"> (</w:t>
      </w:r>
      <w:r w:rsidR="000E7AF0" w:rsidRPr="000E7AF0">
        <w:rPr>
          <w:lang w:val="en-GB"/>
        </w:rPr>
        <w:t>ASU</w:t>
      </w:r>
      <w:r w:rsidR="000E7AF0">
        <w:rPr>
          <w:lang w:val="en-GB"/>
        </w:rPr>
        <w:t>)</w:t>
      </w:r>
      <w:r w:rsidR="00051499">
        <w:rPr>
          <w:lang w:val="en-GB"/>
        </w:rPr>
        <w:t xml:space="preserve"> when using grey- or blue-</w:t>
      </w:r>
      <w:r w:rsidR="00051499" w:rsidRPr="00051499">
        <w:rPr>
          <w:lang w:val="en-GB"/>
        </w:rPr>
        <w:t>H</w:t>
      </w:r>
      <w:r w:rsidR="00051499" w:rsidRPr="00051499">
        <w:rPr>
          <w:vertAlign w:val="subscript"/>
          <w:lang w:val="en-GB"/>
        </w:rPr>
        <w:t>2</w:t>
      </w:r>
      <w:r w:rsidR="00A55E07">
        <w:rPr>
          <w:lang w:val="en-GB"/>
        </w:rPr>
        <w:t xml:space="preserve">. </w:t>
      </w:r>
      <w:r w:rsidR="009F1C6F">
        <w:rPr>
          <w:lang w:val="en-GB"/>
        </w:rPr>
        <w:t>When using green-H</w:t>
      </w:r>
      <w:r w:rsidR="009F1C6F" w:rsidRPr="00D0538A">
        <w:rPr>
          <w:vertAlign w:val="subscript"/>
          <w:lang w:val="en-GB"/>
        </w:rPr>
        <w:t>2</w:t>
      </w:r>
      <w:r w:rsidR="009F1C6F">
        <w:rPr>
          <w:lang w:val="en-GB"/>
        </w:rPr>
        <w:t xml:space="preserve">, </w:t>
      </w:r>
      <w:r w:rsidR="009F1C6F" w:rsidRPr="00630767">
        <w:rPr>
          <w:lang w:val="en-GB"/>
        </w:rPr>
        <w:t>o</w:t>
      </w:r>
      <w:r w:rsidR="00943EE0" w:rsidRPr="00630767">
        <w:rPr>
          <w:lang w:val="en-GB"/>
        </w:rPr>
        <w:t xml:space="preserve">xy-combustion </w:t>
      </w:r>
      <w:r w:rsidR="009F1C6F" w:rsidRPr="00630767">
        <w:rPr>
          <w:lang w:val="en-GB"/>
        </w:rPr>
        <w:t>wa</w:t>
      </w:r>
      <w:r w:rsidR="00943EE0" w:rsidRPr="00630767">
        <w:rPr>
          <w:lang w:val="en-GB"/>
        </w:rPr>
        <w:t xml:space="preserve">s </w:t>
      </w:r>
      <w:r w:rsidR="00447C0C" w:rsidRPr="00630767">
        <w:rPr>
          <w:lang w:val="en-GB"/>
        </w:rPr>
        <w:t>considered only</w:t>
      </w:r>
      <w:r w:rsidR="00943EE0" w:rsidRPr="00630767">
        <w:rPr>
          <w:lang w:val="en-GB"/>
        </w:rPr>
        <w:t xml:space="preserve"> </w:t>
      </w:r>
      <w:r w:rsidR="00E81515">
        <w:rPr>
          <w:lang w:val="en-GB"/>
        </w:rPr>
        <w:t>since</w:t>
      </w:r>
      <w:r w:rsidR="00943EE0" w:rsidRPr="00630767">
        <w:rPr>
          <w:lang w:val="en-GB"/>
        </w:rPr>
        <w:t xml:space="preserve"> </w:t>
      </w:r>
      <w:r w:rsidR="00E81515">
        <w:rPr>
          <w:lang w:val="en-GB"/>
        </w:rPr>
        <w:lastRenderedPageBreak/>
        <w:t>oxygen</w:t>
      </w:r>
      <w:r w:rsidR="00943EE0" w:rsidRPr="00630767">
        <w:rPr>
          <w:lang w:val="en-GB"/>
        </w:rPr>
        <w:t xml:space="preserve"> is a </w:t>
      </w:r>
      <w:r w:rsidR="00F82C86">
        <w:rPr>
          <w:lang w:val="en-GB"/>
        </w:rPr>
        <w:t xml:space="preserve">vented </w:t>
      </w:r>
      <w:r w:rsidR="002A255B">
        <w:rPr>
          <w:lang w:val="en-GB"/>
        </w:rPr>
        <w:t xml:space="preserve">by-product of </w:t>
      </w:r>
      <w:r w:rsidR="002A255B" w:rsidRPr="002A255B">
        <w:rPr>
          <w:lang w:val="en-GB"/>
        </w:rPr>
        <w:t>green-H</w:t>
      </w:r>
      <w:r w:rsidR="002A255B" w:rsidRPr="002A255B">
        <w:rPr>
          <w:vertAlign w:val="subscript"/>
          <w:lang w:val="en-GB"/>
        </w:rPr>
        <w:t>2</w:t>
      </w:r>
      <w:r w:rsidR="002A255B" w:rsidRPr="002A255B">
        <w:rPr>
          <w:lang w:val="en-GB"/>
        </w:rPr>
        <w:t xml:space="preserve"> </w:t>
      </w:r>
      <w:r w:rsidR="002A255B">
        <w:rPr>
          <w:lang w:val="en-GB"/>
        </w:rPr>
        <w:t xml:space="preserve">and hence is free </w:t>
      </w:r>
      <w:r w:rsidR="00DC54DD">
        <w:rPr>
          <w:lang w:val="en-GB"/>
        </w:rPr>
        <w:t xml:space="preserve">(0 </w:t>
      </w:r>
      <w:r w:rsidR="00986EA7">
        <w:rPr>
          <w:lang w:val="en-GB"/>
        </w:rPr>
        <w:t>$/kg</w:t>
      </w:r>
      <w:r w:rsidR="00986EA7" w:rsidRPr="00986EA7">
        <w:rPr>
          <w:vertAlign w:val="subscript"/>
          <w:lang w:val="en-GB"/>
        </w:rPr>
        <w:t>O2</w:t>
      </w:r>
      <w:r w:rsidR="00986EA7">
        <w:rPr>
          <w:lang w:val="en-GB"/>
        </w:rPr>
        <w:t>)</w:t>
      </w:r>
      <w:r w:rsidR="00943EE0" w:rsidRPr="00630767">
        <w:rPr>
          <w:lang w:val="en-GB"/>
        </w:rPr>
        <w:t>.</w:t>
      </w:r>
      <w:r w:rsidR="00943EE0">
        <w:rPr>
          <w:lang w:val="en-GB"/>
        </w:rPr>
        <w:t xml:space="preserve"> </w:t>
      </w:r>
      <w:r w:rsidR="008B3380">
        <w:rPr>
          <w:lang w:val="en-GB"/>
        </w:rPr>
        <w:t>For</w:t>
      </w:r>
      <w:r w:rsidR="00447C0C">
        <w:rPr>
          <w:lang w:val="en-GB"/>
        </w:rPr>
        <w:t xml:space="preserve"> the cases</w:t>
      </w:r>
      <w:r w:rsidR="008B3380">
        <w:rPr>
          <w:lang w:val="en-GB"/>
        </w:rPr>
        <w:t xml:space="preserve"> </w:t>
      </w:r>
      <w:r w:rsidR="00246F58">
        <w:rPr>
          <w:lang w:val="en-GB"/>
        </w:rPr>
        <w:t>CS1 to CS5</w:t>
      </w:r>
      <w:r w:rsidR="00A54D58">
        <w:rPr>
          <w:lang w:val="en-GB"/>
        </w:rPr>
        <w:t>,</w:t>
      </w:r>
      <w:r w:rsidR="00DD218B">
        <w:rPr>
          <w:lang w:val="en-GB"/>
        </w:rPr>
        <w:t xml:space="preserve"> the </w:t>
      </w:r>
      <w:r w:rsidR="009303D7">
        <w:rPr>
          <w:lang w:val="en-GB"/>
        </w:rPr>
        <w:t xml:space="preserve">calculated </w:t>
      </w:r>
      <w:r w:rsidR="00403776">
        <w:rPr>
          <w:lang w:val="en-GB"/>
        </w:rPr>
        <w:t>profitability indexes</w:t>
      </w:r>
      <w:r w:rsidR="009303D7">
        <w:rPr>
          <w:lang w:val="en-GB"/>
        </w:rPr>
        <w:t xml:space="preserve"> </w:t>
      </w:r>
      <w:r w:rsidR="00982769">
        <w:rPr>
          <w:lang w:val="en-GB"/>
        </w:rPr>
        <w:t>we</w:t>
      </w:r>
      <w:r w:rsidR="009303D7">
        <w:rPr>
          <w:lang w:val="en-GB"/>
        </w:rPr>
        <w:t>re the IRR and payback time</w:t>
      </w:r>
      <w:r w:rsidR="00007550">
        <w:rPr>
          <w:lang w:val="en-GB"/>
        </w:rPr>
        <w:t>,</w:t>
      </w:r>
      <w:r w:rsidR="009303D7">
        <w:rPr>
          <w:lang w:val="en-GB"/>
        </w:rPr>
        <w:t xml:space="preserve"> </w:t>
      </w:r>
      <w:r w:rsidR="00BD105C">
        <w:rPr>
          <w:lang w:val="en-GB"/>
        </w:rPr>
        <w:t xml:space="preserve">considering a </w:t>
      </w:r>
      <w:r w:rsidR="009303D7">
        <w:rPr>
          <w:lang w:val="en-GB"/>
        </w:rPr>
        <w:t xml:space="preserve">lifetime </w:t>
      </w:r>
      <w:r w:rsidR="00BD105C">
        <w:rPr>
          <w:lang w:val="en-GB"/>
        </w:rPr>
        <w:t>of</w:t>
      </w:r>
      <w:r w:rsidR="00B65897">
        <w:rPr>
          <w:lang w:val="en-GB"/>
        </w:rPr>
        <w:t xml:space="preserve"> </w:t>
      </w:r>
      <w:r w:rsidR="006D53AD">
        <w:rPr>
          <w:lang w:val="en-GB"/>
        </w:rPr>
        <w:t xml:space="preserve">20 years </w:t>
      </w:r>
      <w:r w:rsidR="00BD105C">
        <w:rPr>
          <w:lang w:val="en-GB"/>
        </w:rPr>
        <w:t>for</w:t>
      </w:r>
      <w:r w:rsidR="009303D7">
        <w:rPr>
          <w:lang w:val="en-GB"/>
        </w:rPr>
        <w:t xml:space="preserve"> the biorefinery</w:t>
      </w:r>
      <w:r w:rsidR="00403776">
        <w:rPr>
          <w:lang w:val="en-GB"/>
        </w:rPr>
        <w:t>:</w:t>
      </w:r>
    </w:p>
    <w:p w14:paraId="30522DB9" w14:textId="07F71A56" w:rsidR="008D52DB" w:rsidRDefault="008D52DB" w:rsidP="008D52DB">
      <w:pPr>
        <w:pStyle w:val="Els-body-text"/>
        <w:numPr>
          <w:ilvl w:val="0"/>
          <w:numId w:val="22"/>
        </w:numPr>
        <w:rPr>
          <w:lang w:val="en-GB"/>
        </w:rPr>
      </w:pPr>
      <w:r>
        <w:rPr>
          <w:lang w:val="en-GB"/>
        </w:rPr>
        <w:t>CS1: baseline biorefinery (with air combustion and grey-H</w:t>
      </w:r>
      <w:r w:rsidRPr="005740F9">
        <w:rPr>
          <w:vertAlign w:val="subscript"/>
          <w:lang w:val="en-GB"/>
        </w:rPr>
        <w:t>2</w:t>
      </w:r>
      <w:r>
        <w:rPr>
          <w:lang w:val="en-GB"/>
        </w:rPr>
        <w:t>)</w:t>
      </w:r>
    </w:p>
    <w:p w14:paraId="5BB0D7F7" w14:textId="77777777" w:rsidR="008D52DB" w:rsidRDefault="008D52DB" w:rsidP="008D52DB">
      <w:pPr>
        <w:pStyle w:val="Els-body-text"/>
        <w:numPr>
          <w:ilvl w:val="0"/>
          <w:numId w:val="22"/>
        </w:numPr>
        <w:rPr>
          <w:lang w:val="en-GB"/>
        </w:rPr>
      </w:pPr>
      <w:r>
        <w:rPr>
          <w:lang w:val="en-GB"/>
        </w:rPr>
        <w:t>CS2: biorefinery with oxy-combustion (O</w:t>
      </w:r>
      <w:r w:rsidRPr="00E07564">
        <w:rPr>
          <w:vertAlign w:val="subscript"/>
          <w:lang w:val="en-GB"/>
        </w:rPr>
        <w:t>2</w:t>
      </w:r>
      <w:r>
        <w:rPr>
          <w:lang w:val="en-GB"/>
        </w:rPr>
        <w:t xml:space="preserve"> from ASU) and grey-H</w:t>
      </w:r>
      <w:r w:rsidRPr="00413096">
        <w:rPr>
          <w:vertAlign w:val="subscript"/>
          <w:lang w:val="en-GB"/>
        </w:rPr>
        <w:t>2</w:t>
      </w:r>
    </w:p>
    <w:p w14:paraId="2A59FCB1" w14:textId="77777777" w:rsidR="008D52DB" w:rsidRDefault="008D52DB" w:rsidP="008D52DB">
      <w:pPr>
        <w:pStyle w:val="Els-body-text"/>
        <w:numPr>
          <w:ilvl w:val="0"/>
          <w:numId w:val="22"/>
        </w:numPr>
        <w:rPr>
          <w:lang w:val="en-GB"/>
        </w:rPr>
      </w:pPr>
      <w:r>
        <w:rPr>
          <w:lang w:val="en-GB"/>
        </w:rPr>
        <w:t xml:space="preserve">CS3: biorefinery </w:t>
      </w:r>
      <w:r w:rsidRPr="00C67E26">
        <w:rPr>
          <w:lang w:val="en-GB"/>
        </w:rPr>
        <w:t>with air combustion</w:t>
      </w:r>
      <w:r>
        <w:rPr>
          <w:lang w:val="en-GB"/>
        </w:rPr>
        <w:t xml:space="preserve"> and</w:t>
      </w:r>
      <w:r w:rsidRPr="00C67E26">
        <w:rPr>
          <w:lang w:val="en-GB"/>
        </w:rPr>
        <w:t xml:space="preserve"> </w:t>
      </w:r>
      <w:r>
        <w:rPr>
          <w:lang w:val="en-GB"/>
        </w:rPr>
        <w:t>blue-H</w:t>
      </w:r>
      <w:r w:rsidRPr="00413096">
        <w:rPr>
          <w:vertAlign w:val="subscript"/>
          <w:lang w:val="en-GB"/>
        </w:rPr>
        <w:t>2</w:t>
      </w:r>
    </w:p>
    <w:p w14:paraId="593FE399" w14:textId="77777777" w:rsidR="008D52DB" w:rsidRDefault="008D52DB" w:rsidP="008D52DB">
      <w:pPr>
        <w:pStyle w:val="Els-body-text"/>
        <w:numPr>
          <w:ilvl w:val="0"/>
          <w:numId w:val="22"/>
        </w:numPr>
        <w:rPr>
          <w:lang w:val="en-GB"/>
        </w:rPr>
      </w:pPr>
      <w:r>
        <w:rPr>
          <w:lang w:val="en-GB"/>
        </w:rPr>
        <w:t>CS4: biorefinery with oxy-combustion (O</w:t>
      </w:r>
      <w:r w:rsidRPr="00E07564">
        <w:rPr>
          <w:vertAlign w:val="subscript"/>
          <w:lang w:val="en-GB"/>
        </w:rPr>
        <w:t>2</w:t>
      </w:r>
      <w:r>
        <w:rPr>
          <w:lang w:val="en-GB"/>
        </w:rPr>
        <w:t xml:space="preserve"> from ASU) and blue-H</w:t>
      </w:r>
      <w:r w:rsidRPr="00413096">
        <w:rPr>
          <w:vertAlign w:val="subscript"/>
          <w:lang w:val="en-GB"/>
        </w:rPr>
        <w:t>2</w:t>
      </w:r>
    </w:p>
    <w:p w14:paraId="030B417F" w14:textId="77777777" w:rsidR="008D52DB" w:rsidRDefault="008D52DB" w:rsidP="008D52DB">
      <w:pPr>
        <w:pStyle w:val="Els-body-text"/>
        <w:numPr>
          <w:ilvl w:val="0"/>
          <w:numId w:val="22"/>
        </w:numPr>
        <w:rPr>
          <w:lang w:val="en-GB"/>
        </w:rPr>
      </w:pPr>
      <w:r>
        <w:rPr>
          <w:lang w:val="en-GB"/>
        </w:rPr>
        <w:t xml:space="preserve">CS5: biorefinery </w:t>
      </w:r>
      <w:r w:rsidRPr="000E7AF0">
        <w:rPr>
          <w:lang w:val="en-GB"/>
        </w:rPr>
        <w:t xml:space="preserve">with </w:t>
      </w:r>
      <w:r>
        <w:rPr>
          <w:lang w:val="en-GB"/>
        </w:rPr>
        <w:t>oxy-</w:t>
      </w:r>
      <w:r w:rsidRPr="000E7AF0">
        <w:rPr>
          <w:lang w:val="en-GB"/>
        </w:rPr>
        <w:t xml:space="preserve">combustion </w:t>
      </w:r>
      <w:r>
        <w:rPr>
          <w:lang w:val="en-GB"/>
        </w:rPr>
        <w:t>and green-H</w:t>
      </w:r>
      <w:r w:rsidRPr="00413096">
        <w:rPr>
          <w:vertAlign w:val="subscript"/>
          <w:lang w:val="en-GB"/>
        </w:rPr>
        <w:t>2</w:t>
      </w:r>
    </w:p>
    <w:p w14:paraId="61DC619A" w14:textId="5C185802" w:rsidR="008D52DB" w:rsidRDefault="00007550" w:rsidP="008D52DB">
      <w:pPr>
        <w:pStyle w:val="Els-body-text"/>
        <w:rPr>
          <w:lang w:val="en-GB"/>
        </w:rPr>
      </w:pPr>
      <w:r w:rsidRPr="00E81515">
        <w:rPr>
          <w:lang w:val="en-GB"/>
        </w:rPr>
        <w:t>B</w:t>
      </w:r>
      <w:r w:rsidR="00E64008" w:rsidRPr="00E81515">
        <w:rPr>
          <w:lang w:val="en-GB"/>
        </w:rPr>
        <w:t>ased on</w:t>
      </w:r>
      <w:r w:rsidR="008C5E8B" w:rsidRPr="00E81515">
        <w:rPr>
          <w:lang w:val="en-GB"/>
        </w:rPr>
        <w:t xml:space="preserve"> </w:t>
      </w:r>
      <w:r w:rsidR="00E5527D" w:rsidRPr="00E81515">
        <w:rPr>
          <w:lang w:val="en-GB"/>
        </w:rPr>
        <w:t xml:space="preserve">the biorefinery layout </w:t>
      </w:r>
      <w:r w:rsidR="00E64008" w:rsidRPr="00E81515">
        <w:rPr>
          <w:lang w:val="en-GB"/>
        </w:rPr>
        <w:t>of</w:t>
      </w:r>
      <w:r w:rsidR="00E5527D" w:rsidRPr="00E81515">
        <w:rPr>
          <w:lang w:val="en-GB"/>
        </w:rPr>
        <w:t xml:space="preserve"> </w:t>
      </w:r>
      <w:r w:rsidR="008C5E8B" w:rsidRPr="00E81515">
        <w:rPr>
          <w:lang w:val="en-GB"/>
        </w:rPr>
        <w:t>CS5</w:t>
      </w:r>
      <w:r w:rsidRPr="00E81515">
        <w:rPr>
          <w:lang w:val="en-GB"/>
        </w:rPr>
        <w:t xml:space="preserve">, </w:t>
      </w:r>
      <w:r w:rsidR="008D52DB" w:rsidRPr="00E81515">
        <w:rPr>
          <w:lang w:val="en-GB"/>
        </w:rPr>
        <w:t xml:space="preserve">we </w:t>
      </w:r>
      <w:r w:rsidR="00A30719" w:rsidRPr="00E81515">
        <w:rPr>
          <w:lang w:val="en-GB"/>
        </w:rPr>
        <w:t>assessed</w:t>
      </w:r>
      <w:r w:rsidR="008D52DB" w:rsidRPr="00E81515">
        <w:rPr>
          <w:lang w:val="en-GB"/>
        </w:rPr>
        <w:t xml:space="preserve"> the impact of the bioethanol selling</w:t>
      </w:r>
      <w:r w:rsidR="008D52DB">
        <w:rPr>
          <w:lang w:val="en-GB"/>
        </w:rPr>
        <w:t xml:space="preserve"> price on the </w:t>
      </w:r>
      <w:r>
        <w:rPr>
          <w:lang w:val="en-GB"/>
        </w:rPr>
        <w:t xml:space="preserve">overall </w:t>
      </w:r>
      <w:r w:rsidR="008D52DB">
        <w:rPr>
          <w:lang w:val="en-GB"/>
        </w:rPr>
        <w:t xml:space="preserve">economics. </w:t>
      </w:r>
      <w:r w:rsidR="00647831">
        <w:rPr>
          <w:lang w:val="en-GB"/>
        </w:rPr>
        <w:t>CS</w:t>
      </w:r>
      <w:r w:rsidR="00917311">
        <w:rPr>
          <w:lang w:val="en-GB"/>
        </w:rPr>
        <w:t>6 to CS8</w:t>
      </w:r>
      <w:r w:rsidR="008D52DB">
        <w:rPr>
          <w:lang w:val="en-GB"/>
        </w:rPr>
        <w:t xml:space="preserve"> were set up to find the minimum ethanol selling price (MESP) </w:t>
      </w:r>
      <w:r w:rsidR="00917311">
        <w:rPr>
          <w:lang w:val="en-GB"/>
        </w:rPr>
        <w:t xml:space="preserve">to </w:t>
      </w:r>
      <w:r w:rsidR="008C5E8B">
        <w:rPr>
          <w:lang w:val="en-GB"/>
        </w:rPr>
        <w:t>achieve</w:t>
      </w:r>
      <w:r w:rsidR="00917311">
        <w:rPr>
          <w:lang w:val="en-GB"/>
        </w:rPr>
        <w:t xml:space="preserve"> an</w:t>
      </w:r>
      <w:r w:rsidR="008D52DB">
        <w:rPr>
          <w:lang w:val="en-GB"/>
        </w:rPr>
        <w:t xml:space="preserve"> IRR </w:t>
      </w:r>
      <w:r w:rsidR="00BB3D69">
        <w:rPr>
          <w:lang w:val="en-GB"/>
        </w:rPr>
        <w:t>of</w:t>
      </w:r>
      <w:r w:rsidR="008D52DB">
        <w:rPr>
          <w:lang w:val="en-GB"/>
        </w:rPr>
        <w:t xml:space="preserve"> 12%.</w:t>
      </w:r>
    </w:p>
    <w:p w14:paraId="5E994130" w14:textId="77777777" w:rsidR="008D52DB" w:rsidRDefault="008D52DB" w:rsidP="008D52DB">
      <w:pPr>
        <w:pStyle w:val="Els-body-text"/>
        <w:numPr>
          <w:ilvl w:val="0"/>
          <w:numId w:val="23"/>
        </w:numPr>
        <w:rPr>
          <w:lang w:val="en-GB"/>
        </w:rPr>
      </w:pPr>
      <w:r>
        <w:rPr>
          <w:lang w:val="en-GB"/>
        </w:rPr>
        <w:t xml:space="preserve">CS6: MESP for the biorefinery as in CS5 </w:t>
      </w:r>
    </w:p>
    <w:p w14:paraId="3866C307" w14:textId="768FCCDD" w:rsidR="008D52DB" w:rsidRDefault="008D52DB" w:rsidP="008D52DB">
      <w:pPr>
        <w:pStyle w:val="Els-body-text"/>
        <w:numPr>
          <w:ilvl w:val="0"/>
          <w:numId w:val="23"/>
        </w:numPr>
        <w:rPr>
          <w:lang w:val="en-GB"/>
        </w:rPr>
      </w:pPr>
      <w:r>
        <w:rPr>
          <w:lang w:val="en-GB"/>
        </w:rPr>
        <w:t xml:space="preserve">CS7: MESP for </w:t>
      </w:r>
      <w:r w:rsidR="00A47A1F">
        <w:rPr>
          <w:lang w:val="en-GB"/>
        </w:rPr>
        <w:t xml:space="preserve">a </w:t>
      </w:r>
      <w:r>
        <w:rPr>
          <w:lang w:val="en-GB"/>
        </w:rPr>
        <w:t>biorefinery as in CS5, but when green-H</w:t>
      </w:r>
      <w:r w:rsidRPr="00413096">
        <w:rPr>
          <w:vertAlign w:val="subscript"/>
          <w:lang w:val="en-GB"/>
        </w:rPr>
        <w:t>2</w:t>
      </w:r>
      <w:r>
        <w:rPr>
          <w:lang w:val="en-GB"/>
        </w:rPr>
        <w:t xml:space="preserve"> price equals blue-H</w:t>
      </w:r>
      <w:r w:rsidRPr="00413096">
        <w:rPr>
          <w:vertAlign w:val="subscript"/>
          <w:lang w:val="en-GB"/>
        </w:rPr>
        <w:t>2</w:t>
      </w:r>
      <w:r>
        <w:rPr>
          <w:lang w:val="en-GB"/>
        </w:rPr>
        <w:t xml:space="preserve"> one</w:t>
      </w:r>
    </w:p>
    <w:p w14:paraId="5954AF4B" w14:textId="6DA0987A" w:rsidR="008D52DB" w:rsidRDefault="008D52DB" w:rsidP="008D52DB">
      <w:pPr>
        <w:pStyle w:val="Els-body-text"/>
        <w:numPr>
          <w:ilvl w:val="0"/>
          <w:numId w:val="23"/>
        </w:numPr>
        <w:rPr>
          <w:lang w:val="en-GB"/>
        </w:rPr>
      </w:pPr>
      <w:r>
        <w:rPr>
          <w:lang w:val="en-GB"/>
        </w:rPr>
        <w:t xml:space="preserve">CS8: MESP for </w:t>
      </w:r>
      <w:r w:rsidR="00A47A1F">
        <w:rPr>
          <w:lang w:val="en-GB"/>
        </w:rPr>
        <w:t xml:space="preserve">a </w:t>
      </w:r>
      <w:r>
        <w:rPr>
          <w:lang w:val="en-GB"/>
        </w:rPr>
        <w:t>biorefinery as in CS5, but when green-H</w:t>
      </w:r>
      <w:r w:rsidRPr="00413096">
        <w:rPr>
          <w:vertAlign w:val="subscript"/>
          <w:lang w:val="en-GB"/>
        </w:rPr>
        <w:t>2</w:t>
      </w:r>
      <w:r>
        <w:rPr>
          <w:lang w:val="en-GB"/>
        </w:rPr>
        <w:t xml:space="preserve"> price equals grey-H</w:t>
      </w:r>
      <w:r w:rsidRPr="00413096">
        <w:rPr>
          <w:vertAlign w:val="subscript"/>
          <w:lang w:val="en-GB"/>
        </w:rPr>
        <w:t>2</w:t>
      </w:r>
      <w:r>
        <w:rPr>
          <w:lang w:val="en-GB"/>
        </w:rPr>
        <w:t xml:space="preserve"> one</w:t>
      </w:r>
    </w:p>
    <w:p w14:paraId="05A138B3" w14:textId="2118F02B" w:rsidR="00F8363E" w:rsidRDefault="00186839" w:rsidP="009D1D45">
      <w:pPr>
        <w:pStyle w:val="Els-body-text"/>
        <w:rPr>
          <w:lang w:val="en-GB"/>
        </w:rPr>
      </w:pPr>
      <w:r w:rsidRPr="00365A18">
        <w:rPr>
          <w:lang w:val="en-GB"/>
        </w:rPr>
        <w:t>Finally</w:t>
      </w:r>
      <w:r w:rsidR="009D1D45" w:rsidRPr="00365A18">
        <w:rPr>
          <w:lang w:val="en-GB"/>
        </w:rPr>
        <w:t>, we assess</w:t>
      </w:r>
      <w:r w:rsidR="00D70916" w:rsidRPr="00365A18">
        <w:rPr>
          <w:lang w:val="en-GB"/>
        </w:rPr>
        <w:t>ed</w:t>
      </w:r>
      <w:r w:rsidR="009D1D45" w:rsidRPr="00365A18">
        <w:rPr>
          <w:lang w:val="en-GB"/>
        </w:rPr>
        <w:t xml:space="preserve"> the impact of </w:t>
      </w:r>
      <w:r w:rsidR="00D70916" w:rsidRPr="00365A18">
        <w:rPr>
          <w:lang w:val="en-GB"/>
        </w:rPr>
        <w:t>using</w:t>
      </w:r>
      <w:r w:rsidR="009D1D45" w:rsidRPr="00365A18">
        <w:rPr>
          <w:lang w:val="en-GB"/>
        </w:rPr>
        <w:t xml:space="preserve"> </w:t>
      </w:r>
      <w:r w:rsidR="007107D7" w:rsidRPr="00365A18">
        <w:rPr>
          <w:lang w:val="en-GB"/>
        </w:rPr>
        <w:t>green</w:t>
      </w:r>
      <w:r w:rsidR="00D70916" w:rsidRPr="00365A18">
        <w:rPr>
          <w:lang w:val="en-GB"/>
        </w:rPr>
        <w:t>-</w:t>
      </w:r>
      <w:r w:rsidR="007107D7" w:rsidRPr="00365A18">
        <w:rPr>
          <w:lang w:val="en-GB"/>
        </w:rPr>
        <w:t>H</w:t>
      </w:r>
      <w:r w:rsidR="007107D7" w:rsidRPr="00365A18">
        <w:rPr>
          <w:vertAlign w:val="subscript"/>
          <w:lang w:val="en-GB"/>
        </w:rPr>
        <w:t>2</w:t>
      </w:r>
      <w:r w:rsidR="00D70916" w:rsidRPr="00365A18">
        <w:rPr>
          <w:lang w:val="en-GB"/>
        </w:rPr>
        <w:t xml:space="preserve"> on the </w:t>
      </w:r>
      <w:r w:rsidR="00CE7741" w:rsidRPr="00365A18">
        <w:rPr>
          <w:lang w:val="en-GB"/>
        </w:rPr>
        <w:t>economics</w:t>
      </w:r>
      <w:r w:rsidR="00EC438F" w:rsidRPr="00365A18">
        <w:rPr>
          <w:lang w:val="en-GB"/>
        </w:rPr>
        <w:t xml:space="preserve"> </w:t>
      </w:r>
      <w:r w:rsidR="00804A3F" w:rsidRPr="00365A18">
        <w:rPr>
          <w:lang w:val="en-GB"/>
        </w:rPr>
        <w:t>(</w:t>
      </w:r>
      <w:r w:rsidR="00EC438F" w:rsidRPr="00365A18">
        <w:rPr>
          <w:lang w:val="en-GB"/>
        </w:rPr>
        <w:t>CS9 to CS11</w:t>
      </w:r>
      <w:r w:rsidR="00804A3F" w:rsidRPr="00365A18">
        <w:rPr>
          <w:lang w:val="en-GB"/>
        </w:rPr>
        <w:t>)</w:t>
      </w:r>
      <w:r w:rsidR="005945E5" w:rsidRPr="00365A18">
        <w:rPr>
          <w:lang w:val="en-GB"/>
        </w:rPr>
        <w:t>. The</w:t>
      </w:r>
      <w:r w:rsidR="00804A3F" w:rsidRPr="00365A18">
        <w:rPr>
          <w:lang w:val="en-GB"/>
        </w:rPr>
        <w:t>se last cases</w:t>
      </w:r>
      <w:r w:rsidR="005945E5" w:rsidRPr="00365A18">
        <w:rPr>
          <w:lang w:val="en-GB"/>
        </w:rPr>
        <w:t xml:space="preserve"> </w:t>
      </w:r>
      <w:r w:rsidR="00D70916" w:rsidRPr="00365A18">
        <w:rPr>
          <w:lang w:val="en-GB"/>
        </w:rPr>
        <w:t>we</w:t>
      </w:r>
      <w:r w:rsidR="005945E5" w:rsidRPr="00365A18">
        <w:rPr>
          <w:lang w:val="en-GB"/>
        </w:rPr>
        <w:t xml:space="preserve">re </w:t>
      </w:r>
      <w:r w:rsidR="009325F0" w:rsidRPr="00365A18">
        <w:rPr>
          <w:lang w:val="en-GB"/>
        </w:rPr>
        <w:t>designed</w:t>
      </w:r>
      <w:r w:rsidR="005945E5" w:rsidRPr="00365A18">
        <w:rPr>
          <w:lang w:val="en-GB"/>
        </w:rPr>
        <w:t xml:space="preserve"> to determine the maximum </w:t>
      </w:r>
      <w:r w:rsidR="006B6B0F" w:rsidRPr="00365A18">
        <w:rPr>
          <w:lang w:val="en-GB"/>
        </w:rPr>
        <w:t xml:space="preserve">affordable </w:t>
      </w:r>
      <w:r w:rsidR="00946A30" w:rsidRPr="00365A18">
        <w:rPr>
          <w:lang w:val="en-GB"/>
        </w:rPr>
        <w:t>green-H</w:t>
      </w:r>
      <w:r w:rsidR="00946A30" w:rsidRPr="00365A18">
        <w:rPr>
          <w:vertAlign w:val="subscript"/>
          <w:lang w:val="en-GB"/>
        </w:rPr>
        <w:t>2</w:t>
      </w:r>
      <w:r w:rsidR="00B358EF" w:rsidRPr="00365A18">
        <w:rPr>
          <w:lang w:val="en-GB"/>
        </w:rPr>
        <w:t xml:space="preserve"> price (M</w:t>
      </w:r>
      <w:r w:rsidR="00946A30" w:rsidRPr="00365A18">
        <w:rPr>
          <w:lang w:val="en-GB"/>
        </w:rPr>
        <w:t>G</w:t>
      </w:r>
      <w:r w:rsidR="00B358EF" w:rsidRPr="00365A18">
        <w:rPr>
          <w:lang w:val="en-GB"/>
        </w:rPr>
        <w:t xml:space="preserve">HP) </w:t>
      </w:r>
      <w:r w:rsidR="00BC79FC" w:rsidRPr="00E009D1">
        <w:rPr>
          <w:lang w:val="en-GB"/>
        </w:rPr>
        <w:t xml:space="preserve">considering </w:t>
      </w:r>
      <w:r w:rsidR="002670AF" w:rsidRPr="00E009D1">
        <w:rPr>
          <w:lang w:val="en-GB"/>
        </w:rPr>
        <w:t xml:space="preserve">market </w:t>
      </w:r>
      <w:r w:rsidR="00BC79FC" w:rsidRPr="00E009D1">
        <w:rPr>
          <w:lang w:val="en-GB"/>
        </w:rPr>
        <w:t>price oscillation</w:t>
      </w:r>
      <w:r w:rsidR="003D793C" w:rsidRPr="00E009D1">
        <w:rPr>
          <w:lang w:val="en-GB"/>
        </w:rPr>
        <w:t>s</w:t>
      </w:r>
      <w:r w:rsidR="00BC79FC" w:rsidRPr="00E009D1">
        <w:rPr>
          <w:lang w:val="en-GB"/>
        </w:rPr>
        <w:t xml:space="preserve"> </w:t>
      </w:r>
      <w:r w:rsidR="003D793C" w:rsidRPr="00E009D1">
        <w:rPr>
          <w:lang w:val="en-GB"/>
        </w:rPr>
        <w:t>and</w:t>
      </w:r>
      <w:r w:rsidR="00C5154A" w:rsidRPr="00E009D1">
        <w:rPr>
          <w:lang w:val="en-GB"/>
        </w:rPr>
        <w:t xml:space="preserve"> different countries</w:t>
      </w:r>
      <w:r w:rsidR="00984706">
        <w:rPr>
          <w:lang w:val="en-GB"/>
        </w:rPr>
        <w:t xml:space="preserve">, </w:t>
      </w:r>
      <w:r w:rsidR="003D793C" w:rsidRPr="00E009D1">
        <w:rPr>
          <w:lang w:val="en-GB"/>
        </w:rPr>
        <w:t>e.g.</w:t>
      </w:r>
      <w:r w:rsidR="00BC79FC" w:rsidRPr="00E009D1">
        <w:rPr>
          <w:lang w:val="en-GB"/>
        </w:rPr>
        <w:t xml:space="preserve">, </w:t>
      </w:r>
      <w:r w:rsidR="009A11F6" w:rsidRPr="00E009D1">
        <w:rPr>
          <w:lang w:val="en-GB"/>
        </w:rPr>
        <w:t>0.</w:t>
      </w:r>
      <w:r w:rsidR="00BC79FC" w:rsidRPr="00E009D1">
        <w:rPr>
          <w:lang w:val="en-GB"/>
        </w:rPr>
        <w:t>60</w:t>
      </w:r>
      <w:r w:rsidR="009A11F6" w:rsidRPr="00E009D1">
        <w:rPr>
          <w:lang w:val="en-GB"/>
        </w:rPr>
        <w:t xml:space="preserve"> in the US</w:t>
      </w:r>
      <w:r w:rsidR="00BB3AAC" w:rsidRPr="00E009D1">
        <w:rPr>
          <w:lang w:val="en-GB"/>
        </w:rPr>
        <w:t xml:space="preserve"> and 1</w:t>
      </w:r>
      <w:r w:rsidR="009A11F6" w:rsidRPr="00E009D1">
        <w:rPr>
          <w:lang w:val="en-GB"/>
        </w:rPr>
        <w:t>.</w:t>
      </w:r>
      <w:r w:rsidR="00CD1944" w:rsidRPr="00E009D1">
        <w:rPr>
          <w:lang w:val="en-GB"/>
        </w:rPr>
        <w:t>2</w:t>
      </w:r>
      <w:r w:rsidR="00BB3AAC" w:rsidRPr="00E009D1">
        <w:rPr>
          <w:lang w:val="en-GB"/>
        </w:rPr>
        <w:t>0</w:t>
      </w:r>
      <w:r w:rsidR="00BC79FC" w:rsidRPr="00E009D1">
        <w:rPr>
          <w:lang w:val="en-GB"/>
        </w:rPr>
        <w:t xml:space="preserve"> </w:t>
      </w:r>
      <w:r w:rsidR="00BB3AAC" w:rsidRPr="00E009D1">
        <w:rPr>
          <w:lang w:val="en-GB"/>
        </w:rPr>
        <w:t>$/litre</w:t>
      </w:r>
      <w:r w:rsidR="009A11F6" w:rsidRPr="00E009D1">
        <w:rPr>
          <w:lang w:val="en-GB"/>
        </w:rPr>
        <w:t xml:space="preserve"> in Sweden</w:t>
      </w:r>
      <w:r w:rsidR="00993112" w:rsidRPr="00E009D1">
        <w:rPr>
          <w:lang w:val="en-GB"/>
        </w:rPr>
        <w:t xml:space="preserve">; thus, </w:t>
      </w:r>
      <w:r w:rsidR="00CD1944" w:rsidRPr="00E009D1">
        <w:rPr>
          <w:lang w:val="en-GB"/>
        </w:rPr>
        <w:t>0.</w:t>
      </w:r>
      <w:r w:rsidR="00BB3AAC" w:rsidRPr="00E009D1">
        <w:rPr>
          <w:lang w:val="en-GB"/>
        </w:rPr>
        <w:t>80 $/litre is a</w:t>
      </w:r>
      <w:r w:rsidR="002670AF" w:rsidRPr="00E009D1">
        <w:rPr>
          <w:lang w:val="en-GB"/>
        </w:rPr>
        <w:t xml:space="preserve"> time-weighted</w:t>
      </w:r>
      <w:r w:rsidR="00BB3AAC" w:rsidRPr="00E009D1">
        <w:rPr>
          <w:lang w:val="en-GB"/>
        </w:rPr>
        <w:t xml:space="preserve"> average</w:t>
      </w:r>
      <w:r w:rsidR="009A11F6" w:rsidRPr="00E009D1">
        <w:rPr>
          <w:lang w:val="en-GB"/>
        </w:rPr>
        <w:t xml:space="preserve"> worldwide</w:t>
      </w:r>
      <w:r w:rsidR="00F8363E" w:rsidRPr="00E009D1">
        <w:rPr>
          <w:lang w:val="en-GB"/>
        </w:rPr>
        <w:t>.</w:t>
      </w:r>
      <w:r w:rsidR="003D793C" w:rsidRPr="00E009D1">
        <w:rPr>
          <w:lang w:val="en-GB"/>
        </w:rPr>
        <w:t xml:space="preserve"> </w:t>
      </w:r>
      <w:r w:rsidR="00CE5698" w:rsidRPr="00E009D1">
        <w:rPr>
          <w:lang w:val="en-GB"/>
        </w:rPr>
        <w:t xml:space="preserve">The target value for the </w:t>
      </w:r>
      <w:r w:rsidR="00EC438F" w:rsidRPr="00E009D1">
        <w:rPr>
          <w:lang w:val="en-GB"/>
        </w:rPr>
        <w:t xml:space="preserve">IRR </w:t>
      </w:r>
      <w:r w:rsidR="00B62303" w:rsidRPr="00E009D1">
        <w:rPr>
          <w:lang w:val="en-GB"/>
        </w:rPr>
        <w:t>was kept</w:t>
      </w:r>
      <w:r w:rsidR="00EC438F" w:rsidRPr="00E009D1">
        <w:rPr>
          <w:lang w:val="en-GB"/>
        </w:rPr>
        <w:t xml:space="preserve"> </w:t>
      </w:r>
      <w:r w:rsidR="00CE5698" w:rsidRPr="00E009D1">
        <w:rPr>
          <w:lang w:val="en-GB"/>
        </w:rPr>
        <w:t xml:space="preserve">fixed </w:t>
      </w:r>
      <w:r w:rsidR="00CE7741" w:rsidRPr="00E009D1">
        <w:rPr>
          <w:lang w:val="en-GB"/>
        </w:rPr>
        <w:t>at</w:t>
      </w:r>
      <w:r w:rsidR="00CE5698" w:rsidRPr="00E009D1">
        <w:rPr>
          <w:lang w:val="en-GB"/>
        </w:rPr>
        <w:t xml:space="preserve"> 12%</w:t>
      </w:r>
      <w:r w:rsidR="00EC438F" w:rsidRPr="00E009D1">
        <w:rPr>
          <w:lang w:val="en-GB"/>
        </w:rPr>
        <w:t>.</w:t>
      </w:r>
    </w:p>
    <w:p w14:paraId="17221422" w14:textId="19E6F352" w:rsidR="008012CB" w:rsidRDefault="00F8363E" w:rsidP="00F8363E">
      <w:pPr>
        <w:pStyle w:val="Els-body-text"/>
        <w:numPr>
          <w:ilvl w:val="0"/>
          <w:numId w:val="24"/>
        </w:numPr>
        <w:rPr>
          <w:lang w:val="en-GB"/>
        </w:rPr>
      </w:pPr>
      <w:r>
        <w:rPr>
          <w:lang w:val="en-GB"/>
        </w:rPr>
        <w:t>CS9: M</w:t>
      </w:r>
      <w:r w:rsidR="00221418">
        <w:rPr>
          <w:lang w:val="en-GB"/>
        </w:rPr>
        <w:t>G</w:t>
      </w:r>
      <w:r>
        <w:rPr>
          <w:lang w:val="en-GB"/>
        </w:rPr>
        <w:t>HP</w:t>
      </w:r>
      <w:r w:rsidR="002C6C67">
        <w:rPr>
          <w:lang w:val="en-GB"/>
        </w:rPr>
        <w:t xml:space="preserve"> at </w:t>
      </w:r>
      <w:r w:rsidR="007A35D7">
        <w:rPr>
          <w:lang w:val="en-GB"/>
        </w:rPr>
        <w:t>the</w:t>
      </w:r>
      <w:r w:rsidR="00401219">
        <w:rPr>
          <w:lang w:val="en-GB"/>
        </w:rPr>
        <w:t xml:space="preserve"> </w:t>
      </w:r>
      <w:r w:rsidR="002C6C67">
        <w:rPr>
          <w:lang w:val="en-GB"/>
        </w:rPr>
        <w:t xml:space="preserve">current </w:t>
      </w:r>
      <w:r w:rsidR="006B6B5F">
        <w:rPr>
          <w:lang w:val="en-GB"/>
        </w:rPr>
        <w:t>market</w:t>
      </w:r>
      <w:r w:rsidR="002C6C67">
        <w:rPr>
          <w:lang w:val="en-GB"/>
        </w:rPr>
        <w:t xml:space="preserve"> price</w:t>
      </w:r>
      <w:r w:rsidR="006B6B5F">
        <w:rPr>
          <w:lang w:val="en-GB"/>
        </w:rPr>
        <w:t xml:space="preserve"> of bioethanol</w:t>
      </w:r>
      <w:r w:rsidR="002C6C67">
        <w:rPr>
          <w:lang w:val="en-GB"/>
        </w:rPr>
        <w:t xml:space="preserve"> (0.8</w:t>
      </w:r>
      <w:r w:rsidR="00C3350D">
        <w:rPr>
          <w:lang w:val="en-GB"/>
        </w:rPr>
        <w:t>0</w:t>
      </w:r>
      <w:r w:rsidR="002C6C67">
        <w:rPr>
          <w:lang w:val="en-GB"/>
        </w:rPr>
        <w:t xml:space="preserve"> $/litre, fuel</w:t>
      </w:r>
      <w:r w:rsidR="008F7ACA">
        <w:rPr>
          <w:lang w:val="en-GB"/>
        </w:rPr>
        <w:t>-</w:t>
      </w:r>
      <w:r w:rsidR="002C6C67">
        <w:rPr>
          <w:lang w:val="en-GB"/>
        </w:rPr>
        <w:t xml:space="preserve">grade </w:t>
      </w:r>
      <w:r w:rsidR="007A35D7">
        <w:rPr>
          <w:lang w:val="en-GB"/>
        </w:rPr>
        <w:t>spec</w:t>
      </w:r>
      <w:r w:rsidR="002C6C67">
        <w:rPr>
          <w:lang w:val="en-GB"/>
        </w:rPr>
        <w:t>)</w:t>
      </w:r>
    </w:p>
    <w:p w14:paraId="63343451" w14:textId="08CE0009" w:rsidR="002C6C67" w:rsidRDefault="002C6C67" w:rsidP="00F8363E">
      <w:pPr>
        <w:pStyle w:val="Els-body-text"/>
        <w:numPr>
          <w:ilvl w:val="0"/>
          <w:numId w:val="24"/>
        </w:numPr>
        <w:rPr>
          <w:lang w:val="en-GB"/>
        </w:rPr>
      </w:pPr>
      <w:r>
        <w:rPr>
          <w:lang w:val="en-GB"/>
        </w:rPr>
        <w:t>CS10: M</w:t>
      </w:r>
      <w:r w:rsidR="00221418">
        <w:rPr>
          <w:lang w:val="en-GB"/>
        </w:rPr>
        <w:t>G</w:t>
      </w:r>
      <w:r>
        <w:rPr>
          <w:lang w:val="en-GB"/>
        </w:rPr>
        <w:t xml:space="preserve">HP </w:t>
      </w:r>
      <w:r w:rsidR="00926894">
        <w:rPr>
          <w:lang w:val="en-GB"/>
        </w:rPr>
        <w:t>w</w:t>
      </w:r>
      <w:r w:rsidR="0074468B">
        <w:rPr>
          <w:lang w:val="en-GB"/>
        </w:rPr>
        <w:t>hen</w:t>
      </w:r>
      <w:r w:rsidR="00926894">
        <w:rPr>
          <w:lang w:val="en-GB"/>
        </w:rPr>
        <w:t xml:space="preserve"> bioethanol price </w:t>
      </w:r>
      <w:r w:rsidR="0074468B">
        <w:rPr>
          <w:lang w:val="en-GB"/>
        </w:rPr>
        <w:t xml:space="preserve">is set </w:t>
      </w:r>
      <w:r w:rsidR="00E009D1">
        <w:rPr>
          <w:lang w:val="en-GB"/>
        </w:rPr>
        <w:t>at</w:t>
      </w:r>
      <w:r w:rsidR="00926894">
        <w:rPr>
          <w:lang w:val="en-GB"/>
        </w:rPr>
        <w:t xml:space="preserve"> </w:t>
      </w:r>
      <w:r w:rsidR="00BA6C79">
        <w:rPr>
          <w:lang w:val="en-GB"/>
        </w:rPr>
        <w:t>0.60 $/litre</w:t>
      </w:r>
      <w:r w:rsidR="0074468B">
        <w:rPr>
          <w:lang w:val="en-GB"/>
        </w:rPr>
        <w:t xml:space="preserve"> (i.e., </w:t>
      </w:r>
      <w:r w:rsidR="00BA6C79">
        <w:rPr>
          <w:lang w:val="en-GB"/>
        </w:rPr>
        <w:t>US price</w:t>
      </w:r>
      <w:r w:rsidR="0074468B">
        <w:rPr>
          <w:lang w:val="en-GB"/>
        </w:rPr>
        <w:t>)</w:t>
      </w:r>
    </w:p>
    <w:p w14:paraId="34554C91" w14:textId="3706F963" w:rsidR="0074468B" w:rsidRPr="004622F3" w:rsidRDefault="0074468B" w:rsidP="00F8363E">
      <w:pPr>
        <w:pStyle w:val="Els-body-text"/>
        <w:numPr>
          <w:ilvl w:val="0"/>
          <w:numId w:val="24"/>
        </w:numPr>
        <w:rPr>
          <w:lang w:val="en-GB"/>
        </w:rPr>
      </w:pPr>
      <w:r>
        <w:rPr>
          <w:lang w:val="en-GB"/>
        </w:rPr>
        <w:t>CS11: M</w:t>
      </w:r>
      <w:r w:rsidR="00221418">
        <w:rPr>
          <w:lang w:val="en-GB"/>
        </w:rPr>
        <w:t>G</w:t>
      </w:r>
      <w:r>
        <w:rPr>
          <w:lang w:val="en-GB"/>
        </w:rPr>
        <w:t xml:space="preserve">HP when bioethanol price is set </w:t>
      </w:r>
      <w:r w:rsidR="00E009D1">
        <w:rPr>
          <w:lang w:val="en-GB"/>
        </w:rPr>
        <w:t>at</w:t>
      </w:r>
      <w:r>
        <w:rPr>
          <w:lang w:val="en-GB"/>
        </w:rPr>
        <w:t xml:space="preserve"> </w:t>
      </w:r>
      <w:r w:rsidR="00BA6C79">
        <w:rPr>
          <w:lang w:val="en-GB"/>
        </w:rPr>
        <w:t>1.20 $/litre</w:t>
      </w:r>
      <w:r w:rsidR="00845D43">
        <w:rPr>
          <w:lang w:val="en-GB"/>
        </w:rPr>
        <w:t xml:space="preserve"> (i.e., </w:t>
      </w:r>
      <w:r w:rsidR="00BA6C79">
        <w:rPr>
          <w:lang w:val="en-GB"/>
        </w:rPr>
        <w:t>Sweden</w:t>
      </w:r>
      <w:r w:rsidR="00845D43">
        <w:rPr>
          <w:lang w:val="en-GB"/>
        </w:rPr>
        <w:t xml:space="preserve"> price)</w:t>
      </w:r>
    </w:p>
    <w:p w14:paraId="5C145725" w14:textId="2AA3B15E" w:rsidR="0054501E" w:rsidRDefault="007159EA" w:rsidP="004A77DF">
      <w:pPr>
        <w:pStyle w:val="Els-1storder-head"/>
        <w:spacing w:after="120"/>
        <w:rPr>
          <w:lang w:val="en-GB"/>
        </w:rPr>
      </w:pPr>
      <w:r>
        <w:rPr>
          <w:lang w:val="en-GB"/>
        </w:rPr>
        <w:t>Results</w:t>
      </w:r>
    </w:p>
    <w:p w14:paraId="3E67B3AB" w14:textId="63C37B23" w:rsidR="006C3DF7" w:rsidRDefault="00760E5D" w:rsidP="006C3DF7">
      <w:pPr>
        <w:pStyle w:val="Els-body-text"/>
        <w:rPr>
          <w:lang w:val="en-GB"/>
        </w:rPr>
      </w:pPr>
      <w:r w:rsidRPr="007262B6">
        <w:rPr>
          <w:lang w:val="en-GB"/>
        </w:rPr>
        <w:fldChar w:fldCharType="begin"/>
      </w:r>
      <w:r w:rsidRPr="007262B6">
        <w:rPr>
          <w:lang w:val="en-GB"/>
        </w:rPr>
        <w:instrText xml:space="preserve"> REF _Ref150512467 \h </w:instrText>
      </w:r>
      <w:r w:rsidR="007262B6" w:rsidRPr="007262B6">
        <w:rPr>
          <w:lang w:val="en-GB"/>
        </w:rPr>
        <w:instrText xml:space="preserve"> \* MERGEFORMAT </w:instrText>
      </w:r>
      <w:r w:rsidRPr="007262B6">
        <w:rPr>
          <w:lang w:val="en-GB"/>
        </w:rPr>
      </w:r>
      <w:r w:rsidRPr="007262B6">
        <w:rPr>
          <w:lang w:val="en-GB"/>
        </w:rPr>
        <w:fldChar w:fldCharType="separate"/>
      </w:r>
      <w:r w:rsidR="00F962E1" w:rsidRPr="00F962E1">
        <w:t xml:space="preserve">Table </w:t>
      </w:r>
      <w:r w:rsidR="00F962E1" w:rsidRPr="00F962E1">
        <w:rPr>
          <w:noProof/>
        </w:rPr>
        <w:t>1</w:t>
      </w:r>
      <w:r w:rsidRPr="007262B6">
        <w:rPr>
          <w:lang w:val="en-GB"/>
        </w:rPr>
        <w:fldChar w:fldCharType="end"/>
      </w:r>
      <w:r>
        <w:rPr>
          <w:lang w:val="en-GB"/>
        </w:rPr>
        <w:t xml:space="preserve"> highlights the </w:t>
      </w:r>
      <w:r w:rsidR="00B27D91">
        <w:rPr>
          <w:lang w:val="en-GB"/>
        </w:rPr>
        <w:t xml:space="preserve">contributions of the </w:t>
      </w:r>
      <w:r w:rsidR="007107D7">
        <w:rPr>
          <w:lang w:val="en-GB"/>
        </w:rPr>
        <w:t>single-unit</w:t>
      </w:r>
      <w:r w:rsidR="00B27D91">
        <w:rPr>
          <w:lang w:val="en-GB"/>
        </w:rPr>
        <w:t xml:space="preserve"> operations to the </w:t>
      </w:r>
      <w:r>
        <w:rPr>
          <w:lang w:val="en-GB"/>
        </w:rPr>
        <w:t>investment cost</w:t>
      </w:r>
      <w:r w:rsidR="00B27D91">
        <w:rPr>
          <w:lang w:val="en-GB"/>
        </w:rPr>
        <w:t xml:space="preserve"> </w:t>
      </w:r>
      <w:r>
        <w:rPr>
          <w:lang w:val="en-GB"/>
        </w:rPr>
        <w:t xml:space="preserve">(CAPEX) </w:t>
      </w:r>
      <w:r w:rsidR="00B27D91">
        <w:rPr>
          <w:lang w:val="en-GB"/>
        </w:rPr>
        <w:t>of</w:t>
      </w:r>
      <w:r>
        <w:rPr>
          <w:lang w:val="en-GB"/>
        </w:rPr>
        <w:t xml:space="preserve"> the biorefinery</w:t>
      </w:r>
      <w:r w:rsidR="009D184E">
        <w:rPr>
          <w:lang w:val="en-GB"/>
        </w:rPr>
        <w:t>.</w:t>
      </w:r>
      <w:r w:rsidR="000058D0">
        <w:rPr>
          <w:lang w:val="en-GB"/>
        </w:rPr>
        <w:t xml:space="preserve"> Table 2 gathers the prices of raw materials, utilities and end products used for the calculation of operating costs and revenues</w:t>
      </w:r>
      <w:r w:rsidR="00D20F16">
        <w:rPr>
          <w:lang w:val="en-GB"/>
        </w:rPr>
        <w:t xml:space="preserve"> reported in Table 3</w:t>
      </w:r>
      <w:r w:rsidR="000058D0">
        <w:rPr>
          <w:lang w:val="en-GB"/>
        </w:rPr>
        <w:t>.</w:t>
      </w:r>
    </w:p>
    <w:p w14:paraId="2F197B3D" w14:textId="77777777" w:rsidR="007A6199" w:rsidRDefault="007A6199" w:rsidP="006C3DF7">
      <w:pPr>
        <w:pStyle w:val="Els-body-text"/>
        <w:rPr>
          <w:lang w:val="en-GB"/>
        </w:rPr>
      </w:pPr>
    </w:p>
    <w:p w14:paraId="233CE93D" w14:textId="636C5F38" w:rsidR="00CB4BB0" w:rsidRDefault="00CB4BB0" w:rsidP="005376E2">
      <w:pPr>
        <w:pStyle w:val="Caption"/>
        <w:keepNext/>
        <w:jc w:val="both"/>
      </w:pPr>
      <w:bookmarkStart w:id="3" w:name="_Ref150512467"/>
      <w:r w:rsidRPr="00221418">
        <w:rPr>
          <w:b/>
          <w:bCs/>
        </w:rPr>
        <w:t xml:space="preserve">Table </w:t>
      </w:r>
      <w:r w:rsidRPr="00221418">
        <w:rPr>
          <w:b/>
          <w:bCs/>
        </w:rPr>
        <w:fldChar w:fldCharType="begin"/>
      </w:r>
      <w:r w:rsidRPr="00221418">
        <w:rPr>
          <w:b/>
          <w:bCs/>
        </w:rPr>
        <w:instrText xml:space="preserve"> SEQ Table \* ARABIC </w:instrText>
      </w:r>
      <w:r w:rsidRPr="00221418">
        <w:rPr>
          <w:b/>
          <w:bCs/>
        </w:rPr>
        <w:fldChar w:fldCharType="separate"/>
      </w:r>
      <w:r w:rsidR="00F962E1">
        <w:rPr>
          <w:b/>
          <w:bCs/>
          <w:noProof/>
        </w:rPr>
        <w:t>1</w:t>
      </w:r>
      <w:r w:rsidRPr="00221418">
        <w:rPr>
          <w:b/>
          <w:bCs/>
        </w:rPr>
        <w:fldChar w:fldCharType="end"/>
      </w:r>
      <w:bookmarkEnd w:id="3"/>
      <w:r>
        <w:t>: CAPEX for biorefinery plant</w:t>
      </w:r>
      <w:r w:rsidR="00383C44">
        <w:t>: characteristic size, base purchase cost, and bare module cost of each piece of equipment.</w:t>
      </w:r>
      <w:r w:rsidR="00760E5D">
        <w:t xml:space="preserve"> Costs are reported in millions of USD (M$).</w:t>
      </w:r>
    </w:p>
    <w:tbl>
      <w:tblPr>
        <w:tblStyle w:val="TableGrid"/>
        <w:tblW w:w="7083" w:type="dxa"/>
        <w:tblLayout w:type="fixed"/>
        <w:tblLook w:val="04A0" w:firstRow="1" w:lastRow="0" w:firstColumn="1" w:lastColumn="0" w:noHBand="0" w:noVBand="1"/>
      </w:tblPr>
      <w:tblGrid>
        <w:gridCol w:w="2972"/>
        <w:gridCol w:w="992"/>
        <w:gridCol w:w="1418"/>
        <w:gridCol w:w="1701"/>
      </w:tblGrid>
      <w:tr w:rsidR="00CB4BB0" w:rsidRPr="00ED3A99" w14:paraId="0816A833" w14:textId="77777777" w:rsidTr="00B30EE9">
        <w:trPr>
          <w:tblHeader/>
        </w:trPr>
        <w:tc>
          <w:tcPr>
            <w:tcW w:w="2972" w:type="dxa"/>
          </w:tcPr>
          <w:p w14:paraId="08E59944" w14:textId="3968B98E" w:rsidR="00CB4BB0" w:rsidRPr="00ED3A99" w:rsidRDefault="00CB4BB0" w:rsidP="006C3DF7">
            <w:pPr>
              <w:pStyle w:val="Els-body-text"/>
              <w:rPr>
                <w:b/>
                <w:bCs/>
                <w:sz w:val="19"/>
                <w:szCs w:val="19"/>
                <w:lang w:val="en-GB"/>
              </w:rPr>
            </w:pPr>
            <w:r w:rsidRPr="00ED3A99">
              <w:rPr>
                <w:b/>
                <w:bCs/>
                <w:sz w:val="19"/>
                <w:szCs w:val="19"/>
                <w:lang w:val="en-GB"/>
              </w:rPr>
              <w:t>Unit</w:t>
            </w:r>
          </w:p>
        </w:tc>
        <w:tc>
          <w:tcPr>
            <w:tcW w:w="992" w:type="dxa"/>
          </w:tcPr>
          <w:p w14:paraId="6B3568B1" w14:textId="6F00973B" w:rsidR="00CB4BB0" w:rsidRPr="00ED3A99" w:rsidRDefault="00CB4BB0" w:rsidP="006C3DF7">
            <w:pPr>
              <w:pStyle w:val="Els-body-text"/>
              <w:rPr>
                <w:b/>
                <w:bCs/>
                <w:sz w:val="19"/>
                <w:szCs w:val="19"/>
                <w:lang w:val="en-GB"/>
              </w:rPr>
            </w:pPr>
            <w:r w:rsidRPr="00ED3A99">
              <w:rPr>
                <w:b/>
                <w:bCs/>
                <w:sz w:val="19"/>
                <w:szCs w:val="19"/>
                <w:lang w:val="en-GB"/>
              </w:rPr>
              <w:t>Size</w:t>
            </w:r>
          </w:p>
        </w:tc>
        <w:tc>
          <w:tcPr>
            <w:tcW w:w="1418" w:type="dxa"/>
          </w:tcPr>
          <w:p w14:paraId="6672457C" w14:textId="5669E929" w:rsidR="00CB4BB0" w:rsidRPr="00ED3A99" w:rsidRDefault="008D5D2A" w:rsidP="006C3DF7">
            <w:pPr>
              <w:pStyle w:val="Els-body-text"/>
              <w:rPr>
                <w:b/>
                <w:bCs/>
                <w:sz w:val="19"/>
                <w:szCs w:val="19"/>
                <w:lang w:val="en-GB"/>
              </w:rPr>
            </w:pPr>
            <w:r w:rsidRPr="00ED3A99">
              <w:rPr>
                <w:b/>
                <w:bCs/>
                <w:sz w:val="19"/>
                <w:szCs w:val="19"/>
                <w:lang w:val="en-GB"/>
              </w:rPr>
              <w:t>Purchase cost</w:t>
            </w:r>
          </w:p>
        </w:tc>
        <w:tc>
          <w:tcPr>
            <w:tcW w:w="1701" w:type="dxa"/>
          </w:tcPr>
          <w:p w14:paraId="7AFE47D5" w14:textId="35EF507E" w:rsidR="00CB4BB0" w:rsidRPr="00ED3A99" w:rsidRDefault="008D5D2A" w:rsidP="006C3DF7">
            <w:pPr>
              <w:pStyle w:val="Els-body-text"/>
              <w:rPr>
                <w:b/>
                <w:bCs/>
                <w:sz w:val="19"/>
                <w:szCs w:val="19"/>
                <w:lang w:val="en-GB"/>
              </w:rPr>
            </w:pPr>
            <w:r w:rsidRPr="00ED3A99">
              <w:rPr>
                <w:b/>
                <w:bCs/>
                <w:sz w:val="19"/>
                <w:szCs w:val="19"/>
                <w:lang w:val="en-GB"/>
              </w:rPr>
              <w:t>Bare module cost</w:t>
            </w:r>
          </w:p>
        </w:tc>
      </w:tr>
      <w:tr w:rsidR="001025FB" w:rsidRPr="00ED3A99" w14:paraId="7E201AB2" w14:textId="77777777" w:rsidTr="00B30EE9">
        <w:trPr>
          <w:trHeight w:val="227"/>
        </w:trPr>
        <w:tc>
          <w:tcPr>
            <w:tcW w:w="2972" w:type="dxa"/>
            <w:vAlign w:val="center"/>
          </w:tcPr>
          <w:p w14:paraId="683F5CB4" w14:textId="26A6AB47" w:rsidR="001025FB" w:rsidRPr="00ED3A99" w:rsidRDefault="001025FB" w:rsidP="000C2347">
            <w:pPr>
              <w:pStyle w:val="Els-body-text"/>
              <w:rPr>
                <w:sz w:val="19"/>
                <w:szCs w:val="19"/>
                <w:lang w:val="en-GB"/>
              </w:rPr>
            </w:pPr>
            <w:r w:rsidRPr="00ED3A99">
              <w:rPr>
                <w:color w:val="000000"/>
                <w:kern w:val="24"/>
                <w:sz w:val="19"/>
                <w:szCs w:val="19"/>
              </w:rPr>
              <w:t>Steam explosion reactor chamber</w:t>
            </w:r>
          </w:p>
        </w:tc>
        <w:tc>
          <w:tcPr>
            <w:tcW w:w="992" w:type="dxa"/>
            <w:vAlign w:val="center"/>
          </w:tcPr>
          <w:p w14:paraId="61D45DB9" w14:textId="3D266578" w:rsidR="001025FB" w:rsidRPr="00ED3A99" w:rsidRDefault="001025FB" w:rsidP="000C2347">
            <w:pPr>
              <w:pStyle w:val="Els-body-text"/>
              <w:rPr>
                <w:sz w:val="19"/>
                <w:szCs w:val="19"/>
                <w:lang w:val="en-GB"/>
              </w:rPr>
            </w:pPr>
            <w:r w:rsidRPr="00ED3A99">
              <w:rPr>
                <w:color w:val="000000"/>
                <w:kern w:val="24"/>
                <w:sz w:val="19"/>
                <w:szCs w:val="19"/>
              </w:rPr>
              <w:t>8 m</w:t>
            </w:r>
            <w:r w:rsidR="00383C44" w:rsidRPr="00ED3A99">
              <w:rPr>
                <w:color w:val="000000"/>
                <w:kern w:val="24"/>
                <w:sz w:val="19"/>
                <w:szCs w:val="19"/>
                <w:vertAlign w:val="superscript"/>
              </w:rPr>
              <w:t>3</w:t>
            </w:r>
          </w:p>
        </w:tc>
        <w:tc>
          <w:tcPr>
            <w:tcW w:w="1418" w:type="dxa"/>
            <w:vAlign w:val="bottom"/>
          </w:tcPr>
          <w:p w14:paraId="44F04BC5" w14:textId="079AAEAC" w:rsidR="001025FB" w:rsidRPr="00ED3A99" w:rsidRDefault="001025FB" w:rsidP="000C2347">
            <w:pPr>
              <w:pStyle w:val="Els-body-text"/>
              <w:rPr>
                <w:sz w:val="19"/>
                <w:szCs w:val="19"/>
                <w:lang w:val="en-GB"/>
              </w:rPr>
            </w:pPr>
            <w:r w:rsidRPr="00ED3A99">
              <w:rPr>
                <w:color w:val="000000"/>
                <w:sz w:val="19"/>
                <w:szCs w:val="19"/>
              </w:rPr>
              <w:t>0.02</w:t>
            </w:r>
          </w:p>
        </w:tc>
        <w:tc>
          <w:tcPr>
            <w:tcW w:w="1701" w:type="dxa"/>
            <w:vAlign w:val="center"/>
          </w:tcPr>
          <w:p w14:paraId="2B1C7779" w14:textId="2A13A602" w:rsidR="001025FB" w:rsidRPr="00ED3A99" w:rsidRDefault="001025FB" w:rsidP="000C2347">
            <w:pPr>
              <w:pStyle w:val="Els-body-text"/>
              <w:rPr>
                <w:sz w:val="19"/>
                <w:szCs w:val="19"/>
                <w:lang w:val="en-GB"/>
              </w:rPr>
            </w:pPr>
            <w:r w:rsidRPr="00ED3A99">
              <w:rPr>
                <w:color w:val="000000"/>
                <w:kern w:val="24"/>
                <w:sz w:val="19"/>
                <w:szCs w:val="19"/>
              </w:rPr>
              <w:t>0.6</w:t>
            </w:r>
            <w:r w:rsidR="00393A6A" w:rsidRPr="00ED3A99">
              <w:rPr>
                <w:color w:val="000000"/>
                <w:kern w:val="24"/>
                <w:sz w:val="19"/>
                <w:szCs w:val="19"/>
              </w:rPr>
              <w:t>0</w:t>
            </w:r>
          </w:p>
        </w:tc>
      </w:tr>
      <w:tr w:rsidR="001025FB" w:rsidRPr="00ED3A99" w14:paraId="26D80DEA" w14:textId="77777777" w:rsidTr="00B30EE9">
        <w:trPr>
          <w:trHeight w:val="227"/>
        </w:trPr>
        <w:tc>
          <w:tcPr>
            <w:tcW w:w="2972" w:type="dxa"/>
            <w:vAlign w:val="center"/>
          </w:tcPr>
          <w:p w14:paraId="30AD1248" w14:textId="63058879" w:rsidR="001025FB" w:rsidRPr="00ED3A99" w:rsidRDefault="001025FB" w:rsidP="000C2347">
            <w:pPr>
              <w:pStyle w:val="Els-body-text"/>
              <w:rPr>
                <w:sz w:val="19"/>
                <w:szCs w:val="19"/>
                <w:lang w:val="en-GB"/>
              </w:rPr>
            </w:pPr>
            <w:r w:rsidRPr="00ED3A99">
              <w:rPr>
                <w:color w:val="000000"/>
                <w:kern w:val="24"/>
                <w:sz w:val="19"/>
                <w:szCs w:val="19"/>
              </w:rPr>
              <w:t>Saccharification reactor chamber</w:t>
            </w:r>
          </w:p>
        </w:tc>
        <w:tc>
          <w:tcPr>
            <w:tcW w:w="992" w:type="dxa"/>
            <w:vAlign w:val="center"/>
          </w:tcPr>
          <w:p w14:paraId="7AA3121E" w14:textId="693B4ED5" w:rsidR="001025FB" w:rsidRPr="00ED3A99" w:rsidRDefault="001025FB" w:rsidP="000C2347">
            <w:pPr>
              <w:pStyle w:val="Els-body-text"/>
              <w:rPr>
                <w:sz w:val="19"/>
                <w:szCs w:val="19"/>
                <w:lang w:val="en-GB"/>
              </w:rPr>
            </w:pPr>
            <w:r w:rsidRPr="00ED3A99">
              <w:rPr>
                <w:color w:val="000000"/>
                <w:kern w:val="24"/>
                <w:sz w:val="19"/>
                <w:szCs w:val="19"/>
              </w:rPr>
              <w:t>600.3 m</w:t>
            </w:r>
            <w:r w:rsidR="00383C44" w:rsidRPr="00ED3A99">
              <w:rPr>
                <w:color w:val="000000"/>
                <w:kern w:val="24"/>
                <w:sz w:val="19"/>
                <w:szCs w:val="19"/>
                <w:vertAlign w:val="superscript"/>
              </w:rPr>
              <w:t>3</w:t>
            </w:r>
          </w:p>
        </w:tc>
        <w:tc>
          <w:tcPr>
            <w:tcW w:w="1418" w:type="dxa"/>
            <w:vAlign w:val="bottom"/>
          </w:tcPr>
          <w:p w14:paraId="2DCA20A6" w14:textId="2B9CDB72" w:rsidR="001025FB" w:rsidRPr="00ED3A99" w:rsidRDefault="001025FB" w:rsidP="000C2347">
            <w:pPr>
              <w:pStyle w:val="Els-body-text"/>
              <w:rPr>
                <w:sz w:val="19"/>
                <w:szCs w:val="19"/>
                <w:lang w:val="en-GB"/>
              </w:rPr>
            </w:pPr>
            <w:r w:rsidRPr="00ED3A99">
              <w:rPr>
                <w:color w:val="000000"/>
                <w:sz w:val="19"/>
                <w:szCs w:val="19"/>
              </w:rPr>
              <w:t>0.67</w:t>
            </w:r>
          </w:p>
        </w:tc>
        <w:tc>
          <w:tcPr>
            <w:tcW w:w="1701" w:type="dxa"/>
            <w:vAlign w:val="center"/>
          </w:tcPr>
          <w:p w14:paraId="5CFB116B" w14:textId="1FB6ED8D" w:rsidR="001025FB" w:rsidRPr="00ED3A99" w:rsidRDefault="001025FB" w:rsidP="000C2347">
            <w:pPr>
              <w:pStyle w:val="Els-body-text"/>
              <w:rPr>
                <w:sz w:val="19"/>
                <w:szCs w:val="19"/>
                <w:lang w:val="en-GB"/>
              </w:rPr>
            </w:pPr>
            <w:r w:rsidRPr="00ED3A99">
              <w:rPr>
                <w:color w:val="000000"/>
                <w:kern w:val="24"/>
                <w:sz w:val="19"/>
                <w:szCs w:val="19"/>
              </w:rPr>
              <w:t>2.71</w:t>
            </w:r>
          </w:p>
        </w:tc>
      </w:tr>
      <w:tr w:rsidR="001025FB" w:rsidRPr="00ED3A99" w14:paraId="07B72B6E" w14:textId="77777777" w:rsidTr="00B30EE9">
        <w:trPr>
          <w:trHeight w:val="227"/>
        </w:trPr>
        <w:tc>
          <w:tcPr>
            <w:tcW w:w="2972" w:type="dxa"/>
            <w:vAlign w:val="center"/>
          </w:tcPr>
          <w:p w14:paraId="499A8DE5" w14:textId="6651874F" w:rsidR="001025FB" w:rsidRPr="00ED3A99" w:rsidRDefault="001025FB" w:rsidP="000C2347">
            <w:pPr>
              <w:pStyle w:val="Els-body-text"/>
              <w:rPr>
                <w:sz w:val="19"/>
                <w:szCs w:val="19"/>
                <w:lang w:val="en-GB"/>
              </w:rPr>
            </w:pPr>
            <w:r w:rsidRPr="00ED3A99">
              <w:rPr>
                <w:color w:val="000000"/>
                <w:kern w:val="24"/>
                <w:sz w:val="19"/>
                <w:szCs w:val="19"/>
              </w:rPr>
              <w:t>Pyrolysis chamber</w:t>
            </w:r>
          </w:p>
        </w:tc>
        <w:tc>
          <w:tcPr>
            <w:tcW w:w="992" w:type="dxa"/>
            <w:vAlign w:val="center"/>
          </w:tcPr>
          <w:p w14:paraId="49425365" w14:textId="3AD3D879" w:rsidR="001025FB" w:rsidRPr="00ED3A99" w:rsidRDefault="001025FB" w:rsidP="000C2347">
            <w:pPr>
              <w:pStyle w:val="Els-body-text"/>
              <w:rPr>
                <w:sz w:val="19"/>
                <w:szCs w:val="19"/>
                <w:lang w:val="en-GB"/>
              </w:rPr>
            </w:pPr>
            <w:r w:rsidRPr="00ED3A99">
              <w:rPr>
                <w:color w:val="000000"/>
                <w:kern w:val="24"/>
                <w:sz w:val="19"/>
                <w:szCs w:val="19"/>
              </w:rPr>
              <w:t>455.6 m</w:t>
            </w:r>
            <w:r w:rsidR="00383C44" w:rsidRPr="00ED3A99">
              <w:rPr>
                <w:color w:val="000000"/>
                <w:kern w:val="24"/>
                <w:sz w:val="19"/>
                <w:szCs w:val="19"/>
                <w:vertAlign w:val="superscript"/>
              </w:rPr>
              <w:t>3</w:t>
            </w:r>
          </w:p>
        </w:tc>
        <w:tc>
          <w:tcPr>
            <w:tcW w:w="1418" w:type="dxa"/>
            <w:vAlign w:val="bottom"/>
          </w:tcPr>
          <w:p w14:paraId="48DA38DE" w14:textId="5475D5BF" w:rsidR="001025FB" w:rsidRPr="00ED3A99" w:rsidRDefault="001025FB" w:rsidP="000C2347">
            <w:pPr>
              <w:pStyle w:val="Els-body-text"/>
              <w:rPr>
                <w:sz w:val="19"/>
                <w:szCs w:val="19"/>
                <w:lang w:val="en-GB"/>
              </w:rPr>
            </w:pPr>
            <w:r w:rsidRPr="00ED3A99">
              <w:rPr>
                <w:color w:val="000000"/>
                <w:sz w:val="19"/>
                <w:szCs w:val="19"/>
              </w:rPr>
              <w:t>0.50</w:t>
            </w:r>
          </w:p>
        </w:tc>
        <w:tc>
          <w:tcPr>
            <w:tcW w:w="1701" w:type="dxa"/>
            <w:vAlign w:val="center"/>
          </w:tcPr>
          <w:p w14:paraId="1086354B" w14:textId="458ADAC8" w:rsidR="001025FB" w:rsidRPr="00ED3A99" w:rsidRDefault="001025FB" w:rsidP="000C2347">
            <w:pPr>
              <w:pStyle w:val="Els-body-text"/>
              <w:rPr>
                <w:sz w:val="19"/>
                <w:szCs w:val="19"/>
                <w:lang w:val="en-GB"/>
              </w:rPr>
            </w:pPr>
            <w:r w:rsidRPr="00ED3A99">
              <w:rPr>
                <w:color w:val="000000"/>
                <w:kern w:val="24"/>
                <w:sz w:val="19"/>
                <w:szCs w:val="19"/>
              </w:rPr>
              <w:t>2.04</w:t>
            </w:r>
          </w:p>
        </w:tc>
      </w:tr>
      <w:tr w:rsidR="001025FB" w:rsidRPr="00ED3A99" w14:paraId="60BEAABC" w14:textId="77777777" w:rsidTr="00B30EE9">
        <w:trPr>
          <w:trHeight w:val="227"/>
        </w:trPr>
        <w:tc>
          <w:tcPr>
            <w:tcW w:w="2972" w:type="dxa"/>
            <w:vAlign w:val="center"/>
          </w:tcPr>
          <w:p w14:paraId="1909E2BF" w14:textId="15615E46" w:rsidR="001025FB" w:rsidRPr="00ED3A99" w:rsidRDefault="001025FB" w:rsidP="00F1279E">
            <w:pPr>
              <w:pStyle w:val="Els-body-text"/>
              <w:jc w:val="left"/>
              <w:rPr>
                <w:sz w:val="19"/>
                <w:szCs w:val="19"/>
                <w:lang w:val="en-GB"/>
              </w:rPr>
            </w:pPr>
            <w:r w:rsidRPr="00ED3A99">
              <w:rPr>
                <w:color w:val="000000"/>
                <w:kern w:val="24"/>
                <w:sz w:val="19"/>
                <w:szCs w:val="19"/>
              </w:rPr>
              <w:t>Fermenter</w:t>
            </w:r>
            <w:r w:rsidR="00C16C67" w:rsidRPr="00ED3A99">
              <w:rPr>
                <w:color w:val="000000"/>
                <w:kern w:val="24"/>
                <w:sz w:val="19"/>
                <w:szCs w:val="19"/>
              </w:rPr>
              <w:t xml:space="preserve"> (</w:t>
            </w:r>
            <w:r w:rsidR="00CD0A46">
              <w:rPr>
                <w:color w:val="000000"/>
                <w:kern w:val="24"/>
                <w:sz w:val="19"/>
                <w:szCs w:val="19"/>
              </w:rPr>
              <w:t xml:space="preserve">all </w:t>
            </w:r>
            <w:r w:rsidR="00C16C67" w:rsidRPr="00ED3A99">
              <w:rPr>
                <w:color w:val="000000"/>
                <w:kern w:val="24"/>
                <w:sz w:val="19"/>
                <w:szCs w:val="19"/>
              </w:rPr>
              <w:t>units)</w:t>
            </w:r>
          </w:p>
        </w:tc>
        <w:tc>
          <w:tcPr>
            <w:tcW w:w="992" w:type="dxa"/>
            <w:vAlign w:val="center"/>
          </w:tcPr>
          <w:p w14:paraId="2B4C6D50" w14:textId="24823180" w:rsidR="001025FB" w:rsidRPr="00ED3A99" w:rsidRDefault="001025FB" w:rsidP="00F1279E">
            <w:pPr>
              <w:pStyle w:val="NormalWeb"/>
              <w:spacing w:before="0" w:beforeAutospacing="0" w:after="0" w:afterAutospacing="0"/>
              <w:textAlignment w:val="bottom"/>
              <w:rPr>
                <w:sz w:val="19"/>
                <w:szCs w:val="19"/>
              </w:rPr>
            </w:pPr>
            <w:r w:rsidRPr="00ED3A99">
              <w:rPr>
                <w:color w:val="000000"/>
                <w:kern w:val="24"/>
                <w:sz w:val="19"/>
                <w:szCs w:val="19"/>
              </w:rPr>
              <w:t>689 m</w:t>
            </w:r>
            <w:r w:rsidR="00383C44" w:rsidRPr="00ED3A99">
              <w:rPr>
                <w:color w:val="000000"/>
                <w:kern w:val="24"/>
                <w:sz w:val="19"/>
                <w:szCs w:val="19"/>
                <w:vertAlign w:val="superscript"/>
              </w:rPr>
              <w:t>3</w:t>
            </w:r>
          </w:p>
        </w:tc>
        <w:tc>
          <w:tcPr>
            <w:tcW w:w="1418" w:type="dxa"/>
            <w:vAlign w:val="center"/>
          </w:tcPr>
          <w:p w14:paraId="2DB3F4D1" w14:textId="5A99D7F9" w:rsidR="001025FB" w:rsidRPr="00ED3A99" w:rsidRDefault="001025FB" w:rsidP="00F1279E">
            <w:pPr>
              <w:pStyle w:val="Els-body-text"/>
              <w:jc w:val="left"/>
              <w:rPr>
                <w:sz w:val="19"/>
                <w:szCs w:val="19"/>
                <w:lang w:val="en-GB"/>
              </w:rPr>
            </w:pPr>
            <w:r w:rsidRPr="00ED3A99">
              <w:rPr>
                <w:color w:val="000000"/>
                <w:sz w:val="19"/>
                <w:szCs w:val="19"/>
              </w:rPr>
              <w:t>1.64</w:t>
            </w:r>
          </w:p>
        </w:tc>
        <w:tc>
          <w:tcPr>
            <w:tcW w:w="1701" w:type="dxa"/>
            <w:vAlign w:val="center"/>
          </w:tcPr>
          <w:p w14:paraId="2E0A6B2F" w14:textId="17BA4ED9" w:rsidR="001025FB" w:rsidRPr="00ED3A99" w:rsidRDefault="001025FB" w:rsidP="00F1279E">
            <w:pPr>
              <w:pStyle w:val="Els-body-text"/>
              <w:jc w:val="left"/>
              <w:rPr>
                <w:sz w:val="19"/>
                <w:szCs w:val="19"/>
                <w:lang w:val="en-GB"/>
              </w:rPr>
            </w:pPr>
            <w:r w:rsidRPr="00ED3A99">
              <w:rPr>
                <w:color w:val="000000"/>
                <w:kern w:val="24"/>
                <w:sz w:val="19"/>
                <w:szCs w:val="19"/>
              </w:rPr>
              <w:t>6.67</w:t>
            </w:r>
          </w:p>
        </w:tc>
      </w:tr>
      <w:tr w:rsidR="001025FB" w:rsidRPr="00ED3A99" w14:paraId="0C0ABAC2" w14:textId="77777777" w:rsidTr="00B30EE9">
        <w:trPr>
          <w:trHeight w:val="227"/>
        </w:trPr>
        <w:tc>
          <w:tcPr>
            <w:tcW w:w="2972" w:type="dxa"/>
            <w:vAlign w:val="center"/>
          </w:tcPr>
          <w:p w14:paraId="0DA8E523" w14:textId="2BA472F3" w:rsidR="001025FB" w:rsidRPr="00ED3A99" w:rsidRDefault="001025FB" w:rsidP="000C2347">
            <w:pPr>
              <w:pStyle w:val="Els-body-text"/>
              <w:rPr>
                <w:sz w:val="19"/>
                <w:szCs w:val="19"/>
                <w:lang w:val="en-GB"/>
              </w:rPr>
            </w:pPr>
            <w:r w:rsidRPr="00ED3A99">
              <w:rPr>
                <w:color w:val="000000"/>
                <w:kern w:val="24"/>
                <w:sz w:val="19"/>
                <w:szCs w:val="19"/>
              </w:rPr>
              <w:t>HDO mild</w:t>
            </w:r>
            <w:r w:rsidR="00F1279E" w:rsidRPr="00ED3A99">
              <w:rPr>
                <w:color w:val="000000"/>
                <w:kern w:val="24"/>
                <w:sz w:val="19"/>
                <w:szCs w:val="19"/>
              </w:rPr>
              <w:t xml:space="preserve"> </w:t>
            </w:r>
          </w:p>
        </w:tc>
        <w:tc>
          <w:tcPr>
            <w:tcW w:w="992" w:type="dxa"/>
            <w:vAlign w:val="center"/>
          </w:tcPr>
          <w:p w14:paraId="236B2657" w14:textId="5576A36F" w:rsidR="001025FB" w:rsidRPr="00ED3A99" w:rsidRDefault="001025FB" w:rsidP="000C2347">
            <w:pPr>
              <w:pStyle w:val="Els-body-text"/>
              <w:rPr>
                <w:sz w:val="19"/>
                <w:szCs w:val="19"/>
                <w:lang w:val="en-GB"/>
              </w:rPr>
            </w:pPr>
            <w:r w:rsidRPr="00ED3A99">
              <w:rPr>
                <w:color w:val="000000"/>
                <w:kern w:val="24"/>
                <w:sz w:val="19"/>
                <w:szCs w:val="19"/>
              </w:rPr>
              <w:t>91.8 m</w:t>
            </w:r>
            <w:r w:rsidR="00383C44" w:rsidRPr="00ED3A99">
              <w:rPr>
                <w:color w:val="000000"/>
                <w:kern w:val="24"/>
                <w:sz w:val="19"/>
                <w:szCs w:val="19"/>
                <w:vertAlign w:val="superscript"/>
              </w:rPr>
              <w:t>3</w:t>
            </w:r>
          </w:p>
        </w:tc>
        <w:tc>
          <w:tcPr>
            <w:tcW w:w="1418" w:type="dxa"/>
            <w:vAlign w:val="bottom"/>
          </w:tcPr>
          <w:p w14:paraId="54B07280" w14:textId="11F1F9AB" w:rsidR="001025FB" w:rsidRPr="00ED3A99" w:rsidRDefault="001025FB" w:rsidP="000C2347">
            <w:pPr>
              <w:pStyle w:val="Els-body-text"/>
              <w:rPr>
                <w:sz w:val="19"/>
                <w:szCs w:val="19"/>
                <w:lang w:val="en-GB"/>
              </w:rPr>
            </w:pPr>
            <w:r w:rsidRPr="00ED3A99">
              <w:rPr>
                <w:color w:val="000000"/>
                <w:sz w:val="19"/>
                <w:szCs w:val="19"/>
              </w:rPr>
              <w:t>0.11</w:t>
            </w:r>
          </w:p>
        </w:tc>
        <w:tc>
          <w:tcPr>
            <w:tcW w:w="1701" w:type="dxa"/>
            <w:vAlign w:val="center"/>
          </w:tcPr>
          <w:p w14:paraId="60AA9B0A" w14:textId="0ED8C834" w:rsidR="001025FB" w:rsidRPr="00ED3A99" w:rsidRDefault="001025FB" w:rsidP="000C2347">
            <w:pPr>
              <w:pStyle w:val="Els-body-text"/>
              <w:rPr>
                <w:sz w:val="19"/>
                <w:szCs w:val="19"/>
                <w:lang w:val="en-GB"/>
              </w:rPr>
            </w:pPr>
            <w:r w:rsidRPr="00ED3A99">
              <w:rPr>
                <w:color w:val="000000"/>
                <w:kern w:val="24"/>
                <w:sz w:val="19"/>
                <w:szCs w:val="19"/>
              </w:rPr>
              <w:t>0.45</w:t>
            </w:r>
          </w:p>
        </w:tc>
      </w:tr>
      <w:tr w:rsidR="001025FB" w:rsidRPr="00ED3A99" w14:paraId="33BDCE85" w14:textId="77777777" w:rsidTr="00B30EE9">
        <w:trPr>
          <w:trHeight w:val="227"/>
        </w:trPr>
        <w:tc>
          <w:tcPr>
            <w:tcW w:w="2972" w:type="dxa"/>
            <w:vAlign w:val="center"/>
          </w:tcPr>
          <w:p w14:paraId="12AB5C14" w14:textId="5E5A3F48" w:rsidR="001025FB" w:rsidRPr="00ED3A99" w:rsidRDefault="001025FB" w:rsidP="000C2347">
            <w:pPr>
              <w:pStyle w:val="Els-body-text"/>
              <w:rPr>
                <w:sz w:val="19"/>
                <w:szCs w:val="19"/>
                <w:lang w:val="en-GB"/>
              </w:rPr>
            </w:pPr>
            <w:r w:rsidRPr="00ED3A99">
              <w:rPr>
                <w:color w:val="000000"/>
                <w:kern w:val="24"/>
                <w:sz w:val="19"/>
                <w:szCs w:val="19"/>
              </w:rPr>
              <w:t>HDO severe</w:t>
            </w:r>
          </w:p>
        </w:tc>
        <w:tc>
          <w:tcPr>
            <w:tcW w:w="992" w:type="dxa"/>
            <w:vAlign w:val="center"/>
          </w:tcPr>
          <w:p w14:paraId="52F81633" w14:textId="5AAE405C" w:rsidR="001025FB" w:rsidRPr="00ED3A99" w:rsidRDefault="001025FB" w:rsidP="000C2347">
            <w:pPr>
              <w:pStyle w:val="Els-body-text"/>
              <w:rPr>
                <w:sz w:val="19"/>
                <w:szCs w:val="19"/>
                <w:lang w:val="en-GB"/>
              </w:rPr>
            </w:pPr>
            <w:r w:rsidRPr="00ED3A99">
              <w:rPr>
                <w:color w:val="000000"/>
                <w:kern w:val="24"/>
                <w:sz w:val="19"/>
                <w:szCs w:val="19"/>
              </w:rPr>
              <w:t>15.7 m</w:t>
            </w:r>
            <w:r w:rsidR="00383C44" w:rsidRPr="00ED3A99">
              <w:rPr>
                <w:color w:val="000000"/>
                <w:kern w:val="24"/>
                <w:sz w:val="19"/>
                <w:szCs w:val="19"/>
                <w:vertAlign w:val="superscript"/>
              </w:rPr>
              <w:t>3</w:t>
            </w:r>
          </w:p>
        </w:tc>
        <w:tc>
          <w:tcPr>
            <w:tcW w:w="1418" w:type="dxa"/>
            <w:vAlign w:val="bottom"/>
          </w:tcPr>
          <w:p w14:paraId="4AE3FF8F" w14:textId="2AC90C0A" w:rsidR="001025FB" w:rsidRPr="00ED3A99" w:rsidRDefault="001025FB" w:rsidP="000C2347">
            <w:pPr>
              <w:pStyle w:val="Els-body-text"/>
              <w:rPr>
                <w:sz w:val="19"/>
                <w:szCs w:val="19"/>
                <w:lang w:val="en-GB"/>
              </w:rPr>
            </w:pPr>
            <w:r w:rsidRPr="00ED3A99">
              <w:rPr>
                <w:color w:val="000000"/>
                <w:sz w:val="19"/>
                <w:szCs w:val="19"/>
              </w:rPr>
              <w:t>0.03</w:t>
            </w:r>
          </w:p>
        </w:tc>
        <w:tc>
          <w:tcPr>
            <w:tcW w:w="1701" w:type="dxa"/>
            <w:vAlign w:val="center"/>
          </w:tcPr>
          <w:p w14:paraId="12787F71" w14:textId="68FDEBBB" w:rsidR="001025FB" w:rsidRPr="00ED3A99" w:rsidRDefault="001025FB" w:rsidP="000C2347">
            <w:pPr>
              <w:pStyle w:val="Els-body-text"/>
              <w:rPr>
                <w:sz w:val="19"/>
                <w:szCs w:val="19"/>
                <w:lang w:val="en-GB"/>
              </w:rPr>
            </w:pPr>
            <w:r w:rsidRPr="00ED3A99">
              <w:rPr>
                <w:color w:val="000000"/>
                <w:kern w:val="24"/>
                <w:sz w:val="19"/>
                <w:szCs w:val="19"/>
              </w:rPr>
              <w:t>0.11</w:t>
            </w:r>
          </w:p>
        </w:tc>
      </w:tr>
      <w:tr w:rsidR="001025FB" w:rsidRPr="00ED3A99" w14:paraId="7080D731" w14:textId="77777777" w:rsidTr="00B30EE9">
        <w:trPr>
          <w:trHeight w:val="227"/>
        </w:trPr>
        <w:tc>
          <w:tcPr>
            <w:tcW w:w="2972" w:type="dxa"/>
            <w:vAlign w:val="center"/>
          </w:tcPr>
          <w:p w14:paraId="13A88E33" w14:textId="2D3CA126" w:rsidR="001025FB" w:rsidRPr="00ED3A99" w:rsidRDefault="001025FB" w:rsidP="000C2347">
            <w:pPr>
              <w:pStyle w:val="Els-body-text"/>
              <w:rPr>
                <w:sz w:val="19"/>
                <w:szCs w:val="19"/>
                <w:lang w:val="en-GB"/>
              </w:rPr>
            </w:pPr>
            <w:r w:rsidRPr="00ED3A99">
              <w:rPr>
                <w:color w:val="000000"/>
                <w:kern w:val="24"/>
                <w:sz w:val="19"/>
                <w:szCs w:val="19"/>
              </w:rPr>
              <w:t>Enzyme production</w:t>
            </w:r>
          </w:p>
        </w:tc>
        <w:tc>
          <w:tcPr>
            <w:tcW w:w="992" w:type="dxa"/>
            <w:vAlign w:val="center"/>
          </w:tcPr>
          <w:p w14:paraId="4463F1C0" w14:textId="7D4A825B" w:rsidR="001025FB" w:rsidRPr="00ED3A99" w:rsidRDefault="001025FB" w:rsidP="000C2347">
            <w:pPr>
              <w:pStyle w:val="Els-body-text"/>
              <w:rPr>
                <w:sz w:val="19"/>
                <w:szCs w:val="19"/>
                <w:lang w:val="en-GB"/>
              </w:rPr>
            </w:pPr>
            <w:r w:rsidRPr="00ED3A99">
              <w:rPr>
                <w:color w:val="000000"/>
                <w:kern w:val="24"/>
                <w:sz w:val="19"/>
                <w:szCs w:val="19"/>
              </w:rPr>
              <w:t>524.5 m</w:t>
            </w:r>
            <w:r w:rsidR="00383C44" w:rsidRPr="00ED3A99">
              <w:rPr>
                <w:color w:val="000000"/>
                <w:kern w:val="24"/>
                <w:sz w:val="19"/>
                <w:szCs w:val="19"/>
                <w:vertAlign w:val="superscript"/>
              </w:rPr>
              <w:t>3</w:t>
            </w:r>
          </w:p>
        </w:tc>
        <w:tc>
          <w:tcPr>
            <w:tcW w:w="1418" w:type="dxa"/>
            <w:vAlign w:val="bottom"/>
          </w:tcPr>
          <w:p w14:paraId="1E5E2B52" w14:textId="0A0B1717" w:rsidR="001025FB" w:rsidRPr="00ED3A99" w:rsidRDefault="001025FB" w:rsidP="000C2347">
            <w:pPr>
              <w:pStyle w:val="Els-body-text"/>
              <w:rPr>
                <w:sz w:val="19"/>
                <w:szCs w:val="19"/>
                <w:lang w:val="en-GB"/>
              </w:rPr>
            </w:pPr>
            <w:r w:rsidRPr="00ED3A99">
              <w:rPr>
                <w:color w:val="000000"/>
                <w:sz w:val="19"/>
                <w:szCs w:val="19"/>
              </w:rPr>
              <w:t>0.58</w:t>
            </w:r>
          </w:p>
        </w:tc>
        <w:tc>
          <w:tcPr>
            <w:tcW w:w="1701" w:type="dxa"/>
            <w:vAlign w:val="center"/>
          </w:tcPr>
          <w:p w14:paraId="493E2792" w14:textId="487ADB40" w:rsidR="001025FB" w:rsidRPr="00ED3A99" w:rsidRDefault="001025FB" w:rsidP="000C2347">
            <w:pPr>
              <w:pStyle w:val="Els-body-text"/>
              <w:rPr>
                <w:sz w:val="19"/>
                <w:szCs w:val="19"/>
                <w:lang w:val="en-GB"/>
              </w:rPr>
            </w:pPr>
            <w:r w:rsidRPr="00ED3A99">
              <w:rPr>
                <w:color w:val="000000"/>
                <w:kern w:val="24"/>
                <w:sz w:val="19"/>
                <w:szCs w:val="19"/>
              </w:rPr>
              <w:t>2.35</w:t>
            </w:r>
          </w:p>
        </w:tc>
      </w:tr>
      <w:tr w:rsidR="001025FB" w:rsidRPr="00ED3A99" w14:paraId="3FF76019" w14:textId="77777777" w:rsidTr="00B30EE9">
        <w:trPr>
          <w:trHeight w:val="227"/>
        </w:trPr>
        <w:tc>
          <w:tcPr>
            <w:tcW w:w="2972" w:type="dxa"/>
            <w:vAlign w:val="center"/>
          </w:tcPr>
          <w:p w14:paraId="0E1C6E4E" w14:textId="480C2327" w:rsidR="001025FB" w:rsidRPr="00ED3A99" w:rsidRDefault="001025FB" w:rsidP="000C2347">
            <w:pPr>
              <w:pStyle w:val="NormalWeb"/>
              <w:spacing w:before="0" w:beforeAutospacing="0" w:after="0" w:afterAutospacing="0"/>
              <w:textAlignment w:val="bottom"/>
              <w:rPr>
                <w:sz w:val="19"/>
                <w:szCs w:val="19"/>
              </w:rPr>
            </w:pPr>
            <w:r w:rsidRPr="00ED3A99">
              <w:rPr>
                <w:color w:val="000000"/>
                <w:kern w:val="24"/>
                <w:sz w:val="19"/>
                <w:szCs w:val="19"/>
              </w:rPr>
              <w:t xml:space="preserve">Ethanol </w:t>
            </w:r>
            <w:r w:rsidR="00B327B2" w:rsidRPr="00ED3A99">
              <w:rPr>
                <w:color w:val="000000"/>
                <w:kern w:val="24"/>
                <w:sz w:val="19"/>
                <w:szCs w:val="19"/>
              </w:rPr>
              <w:t>puri</w:t>
            </w:r>
            <w:r w:rsidRPr="00ED3A99">
              <w:rPr>
                <w:color w:val="000000"/>
                <w:kern w:val="24"/>
                <w:sz w:val="19"/>
                <w:szCs w:val="19"/>
              </w:rPr>
              <w:t>fication</w:t>
            </w:r>
            <w:r w:rsidR="00C16C67" w:rsidRPr="00ED3A99">
              <w:rPr>
                <w:color w:val="000000"/>
                <w:kern w:val="24"/>
                <w:sz w:val="19"/>
                <w:szCs w:val="19"/>
              </w:rPr>
              <w:t xml:space="preserve"> </w:t>
            </w:r>
            <w:r w:rsidRPr="00ED3A99">
              <w:rPr>
                <w:color w:val="000000"/>
                <w:kern w:val="24"/>
                <w:sz w:val="19"/>
                <w:szCs w:val="19"/>
              </w:rPr>
              <w:t>columns</w:t>
            </w:r>
            <w:r w:rsidR="00F675BD" w:rsidRPr="00ED3A99">
              <w:rPr>
                <w:color w:val="000000"/>
                <w:kern w:val="24"/>
                <w:sz w:val="19"/>
                <w:szCs w:val="19"/>
              </w:rPr>
              <w:t xml:space="preserve"> (total)</w:t>
            </w:r>
          </w:p>
        </w:tc>
        <w:tc>
          <w:tcPr>
            <w:tcW w:w="992" w:type="dxa"/>
            <w:vAlign w:val="center"/>
          </w:tcPr>
          <w:p w14:paraId="73C07096" w14:textId="037BAB2F" w:rsidR="001025FB" w:rsidRPr="00ED3A99" w:rsidRDefault="001025FB" w:rsidP="000C2347">
            <w:pPr>
              <w:pStyle w:val="Els-body-text"/>
              <w:rPr>
                <w:sz w:val="19"/>
                <w:szCs w:val="19"/>
                <w:lang w:val="en-GB"/>
              </w:rPr>
            </w:pPr>
            <w:r w:rsidRPr="00ED3A99">
              <w:rPr>
                <w:color w:val="000000"/>
                <w:kern w:val="24"/>
                <w:sz w:val="19"/>
                <w:szCs w:val="19"/>
              </w:rPr>
              <w:t>37.0 m</w:t>
            </w:r>
            <w:r w:rsidR="00383C44" w:rsidRPr="00ED3A99">
              <w:rPr>
                <w:color w:val="000000"/>
                <w:kern w:val="24"/>
                <w:sz w:val="19"/>
                <w:szCs w:val="19"/>
                <w:vertAlign w:val="superscript"/>
              </w:rPr>
              <w:t>3</w:t>
            </w:r>
          </w:p>
        </w:tc>
        <w:tc>
          <w:tcPr>
            <w:tcW w:w="1418" w:type="dxa"/>
            <w:vAlign w:val="bottom"/>
          </w:tcPr>
          <w:p w14:paraId="4C574FCE" w14:textId="11663AFC" w:rsidR="001025FB" w:rsidRPr="00ED3A99" w:rsidRDefault="001025FB" w:rsidP="000C2347">
            <w:pPr>
              <w:pStyle w:val="Els-body-text"/>
              <w:rPr>
                <w:sz w:val="19"/>
                <w:szCs w:val="19"/>
                <w:lang w:val="en-GB"/>
              </w:rPr>
            </w:pPr>
            <w:r w:rsidRPr="00ED3A99">
              <w:rPr>
                <w:color w:val="000000"/>
                <w:sz w:val="19"/>
                <w:szCs w:val="19"/>
              </w:rPr>
              <w:t>0.07</w:t>
            </w:r>
          </w:p>
        </w:tc>
        <w:tc>
          <w:tcPr>
            <w:tcW w:w="1701" w:type="dxa"/>
            <w:vAlign w:val="center"/>
          </w:tcPr>
          <w:p w14:paraId="38AC2AEC" w14:textId="4ADFA479" w:rsidR="001025FB" w:rsidRPr="00ED3A99" w:rsidRDefault="001025FB" w:rsidP="000C2347">
            <w:pPr>
              <w:pStyle w:val="Els-body-text"/>
              <w:rPr>
                <w:sz w:val="19"/>
                <w:szCs w:val="19"/>
                <w:lang w:val="en-GB"/>
              </w:rPr>
            </w:pPr>
            <w:r w:rsidRPr="00ED3A99">
              <w:rPr>
                <w:color w:val="000000"/>
                <w:kern w:val="24"/>
                <w:sz w:val="19"/>
                <w:szCs w:val="19"/>
              </w:rPr>
              <w:t>0.27</w:t>
            </w:r>
          </w:p>
        </w:tc>
      </w:tr>
      <w:tr w:rsidR="001025FB" w:rsidRPr="00ED3A99" w14:paraId="618AAB40" w14:textId="77777777" w:rsidTr="00B30EE9">
        <w:trPr>
          <w:trHeight w:val="227"/>
        </w:trPr>
        <w:tc>
          <w:tcPr>
            <w:tcW w:w="2972" w:type="dxa"/>
            <w:vAlign w:val="center"/>
          </w:tcPr>
          <w:p w14:paraId="102E7A0C" w14:textId="45DAC50A" w:rsidR="001025FB" w:rsidRPr="00ED3A99" w:rsidRDefault="001025FB" w:rsidP="000C2347">
            <w:pPr>
              <w:pStyle w:val="NormalWeb"/>
              <w:spacing w:before="0" w:beforeAutospacing="0" w:after="0" w:afterAutospacing="0"/>
              <w:textAlignment w:val="bottom"/>
              <w:rPr>
                <w:sz w:val="19"/>
                <w:szCs w:val="19"/>
              </w:rPr>
            </w:pPr>
            <w:r w:rsidRPr="00ED3A99">
              <w:rPr>
                <w:color w:val="000000"/>
                <w:kern w:val="24"/>
                <w:sz w:val="19"/>
                <w:szCs w:val="19"/>
              </w:rPr>
              <w:t>Bio-oil distillation</w:t>
            </w:r>
            <w:r w:rsidR="00C16C67" w:rsidRPr="00ED3A99">
              <w:rPr>
                <w:color w:val="000000"/>
                <w:kern w:val="24"/>
                <w:sz w:val="19"/>
                <w:szCs w:val="19"/>
              </w:rPr>
              <w:t xml:space="preserve"> </w:t>
            </w:r>
            <w:r w:rsidRPr="00ED3A99">
              <w:rPr>
                <w:color w:val="000000"/>
                <w:kern w:val="24"/>
                <w:sz w:val="19"/>
                <w:szCs w:val="19"/>
              </w:rPr>
              <w:t>columns</w:t>
            </w:r>
            <w:r w:rsidR="00D12A27" w:rsidRPr="00ED3A99">
              <w:rPr>
                <w:color w:val="000000"/>
                <w:kern w:val="24"/>
                <w:sz w:val="19"/>
                <w:szCs w:val="19"/>
              </w:rPr>
              <w:t xml:space="preserve"> </w:t>
            </w:r>
            <w:r w:rsidR="00F675BD" w:rsidRPr="00ED3A99">
              <w:rPr>
                <w:color w:val="000000"/>
                <w:kern w:val="24"/>
                <w:sz w:val="19"/>
                <w:szCs w:val="19"/>
              </w:rPr>
              <w:t>(total)</w:t>
            </w:r>
          </w:p>
        </w:tc>
        <w:tc>
          <w:tcPr>
            <w:tcW w:w="992" w:type="dxa"/>
            <w:vAlign w:val="center"/>
          </w:tcPr>
          <w:p w14:paraId="620CE577" w14:textId="74D85103" w:rsidR="001025FB" w:rsidRPr="00ED3A99" w:rsidRDefault="005D5052" w:rsidP="000C2347">
            <w:pPr>
              <w:pStyle w:val="Els-body-text"/>
              <w:rPr>
                <w:sz w:val="19"/>
                <w:szCs w:val="19"/>
                <w:lang w:val="en-GB"/>
              </w:rPr>
            </w:pPr>
            <w:r>
              <w:rPr>
                <w:color w:val="000000"/>
                <w:kern w:val="24"/>
                <w:sz w:val="19"/>
                <w:szCs w:val="19"/>
              </w:rPr>
              <w:t>14.5</w:t>
            </w:r>
            <w:r w:rsidR="001025FB" w:rsidRPr="00ED3A99">
              <w:rPr>
                <w:color w:val="000000"/>
                <w:kern w:val="24"/>
                <w:sz w:val="19"/>
                <w:szCs w:val="19"/>
              </w:rPr>
              <w:t xml:space="preserve"> m</w:t>
            </w:r>
            <w:r w:rsidR="00383C44" w:rsidRPr="00ED3A99">
              <w:rPr>
                <w:color w:val="000000"/>
                <w:kern w:val="24"/>
                <w:sz w:val="19"/>
                <w:szCs w:val="19"/>
                <w:vertAlign w:val="superscript"/>
              </w:rPr>
              <w:t>3</w:t>
            </w:r>
          </w:p>
        </w:tc>
        <w:tc>
          <w:tcPr>
            <w:tcW w:w="1418" w:type="dxa"/>
            <w:vAlign w:val="bottom"/>
          </w:tcPr>
          <w:p w14:paraId="1DE49572" w14:textId="63AF2B01" w:rsidR="001025FB" w:rsidRPr="00ED3A99" w:rsidRDefault="001025FB" w:rsidP="000C2347">
            <w:pPr>
              <w:pStyle w:val="Els-body-text"/>
              <w:rPr>
                <w:sz w:val="19"/>
                <w:szCs w:val="19"/>
                <w:lang w:val="en-GB"/>
              </w:rPr>
            </w:pPr>
            <w:r w:rsidRPr="00ED3A99">
              <w:rPr>
                <w:color w:val="000000"/>
                <w:sz w:val="19"/>
                <w:szCs w:val="19"/>
              </w:rPr>
              <w:t>0.02</w:t>
            </w:r>
          </w:p>
        </w:tc>
        <w:tc>
          <w:tcPr>
            <w:tcW w:w="1701" w:type="dxa"/>
            <w:vAlign w:val="center"/>
          </w:tcPr>
          <w:p w14:paraId="23CBEE88" w14:textId="4F12A586" w:rsidR="001025FB" w:rsidRPr="00ED3A99" w:rsidRDefault="001025FB" w:rsidP="000C2347">
            <w:pPr>
              <w:pStyle w:val="Els-body-text"/>
              <w:rPr>
                <w:sz w:val="19"/>
                <w:szCs w:val="19"/>
                <w:lang w:val="en-GB"/>
              </w:rPr>
            </w:pPr>
            <w:r w:rsidRPr="00ED3A99">
              <w:rPr>
                <w:color w:val="000000"/>
                <w:kern w:val="24"/>
                <w:sz w:val="19"/>
                <w:szCs w:val="19"/>
              </w:rPr>
              <w:t>0.10</w:t>
            </w:r>
          </w:p>
        </w:tc>
      </w:tr>
      <w:tr w:rsidR="001025FB" w:rsidRPr="00ED3A99" w14:paraId="2CFC0E9D" w14:textId="77777777" w:rsidTr="00B30EE9">
        <w:trPr>
          <w:trHeight w:val="227"/>
        </w:trPr>
        <w:tc>
          <w:tcPr>
            <w:tcW w:w="2972" w:type="dxa"/>
            <w:vAlign w:val="center"/>
          </w:tcPr>
          <w:p w14:paraId="1FD899E8" w14:textId="31473772" w:rsidR="001025FB" w:rsidRPr="00ED3A99" w:rsidRDefault="00CD0A46" w:rsidP="000C2347">
            <w:pPr>
              <w:pStyle w:val="Els-body-text"/>
              <w:rPr>
                <w:sz w:val="19"/>
                <w:szCs w:val="19"/>
                <w:lang w:val="en-GB"/>
              </w:rPr>
            </w:pPr>
            <w:r>
              <w:rPr>
                <w:color w:val="000000"/>
                <w:kern w:val="24"/>
                <w:sz w:val="19"/>
                <w:szCs w:val="19"/>
              </w:rPr>
              <w:t>S</w:t>
            </w:r>
            <w:r w:rsidR="001025FB" w:rsidRPr="00ED3A99">
              <w:rPr>
                <w:color w:val="000000"/>
                <w:kern w:val="24"/>
                <w:sz w:val="19"/>
                <w:szCs w:val="19"/>
              </w:rPr>
              <w:t>team boiler</w:t>
            </w:r>
          </w:p>
        </w:tc>
        <w:tc>
          <w:tcPr>
            <w:tcW w:w="992" w:type="dxa"/>
            <w:vAlign w:val="center"/>
          </w:tcPr>
          <w:p w14:paraId="53952316" w14:textId="672F1B83" w:rsidR="001025FB" w:rsidRPr="00ED3A99" w:rsidRDefault="001025FB" w:rsidP="000C2347">
            <w:pPr>
              <w:pStyle w:val="Els-body-text"/>
              <w:rPr>
                <w:sz w:val="19"/>
                <w:szCs w:val="19"/>
                <w:lang w:val="en-GB"/>
              </w:rPr>
            </w:pPr>
            <w:r w:rsidRPr="00ED3A99">
              <w:rPr>
                <w:color w:val="000000"/>
                <w:kern w:val="24"/>
                <w:sz w:val="19"/>
                <w:szCs w:val="19"/>
              </w:rPr>
              <w:t>6290 kW</w:t>
            </w:r>
          </w:p>
        </w:tc>
        <w:tc>
          <w:tcPr>
            <w:tcW w:w="1418" w:type="dxa"/>
            <w:vAlign w:val="bottom"/>
          </w:tcPr>
          <w:p w14:paraId="482BA9E7" w14:textId="0A06D4B4" w:rsidR="001025FB" w:rsidRPr="00ED3A99" w:rsidRDefault="001025FB" w:rsidP="000C2347">
            <w:pPr>
              <w:pStyle w:val="Els-body-text"/>
              <w:rPr>
                <w:sz w:val="19"/>
                <w:szCs w:val="19"/>
                <w:lang w:val="en-GB"/>
              </w:rPr>
            </w:pPr>
            <w:r w:rsidRPr="00ED3A99">
              <w:rPr>
                <w:color w:val="000000"/>
                <w:sz w:val="19"/>
                <w:szCs w:val="19"/>
              </w:rPr>
              <w:t>3.83</w:t>
            </w:r>
          </w:p>
        </w:tc>
        <w:tc>
          <w:tcPr>
            <w:tcW w:w="1701" w:type="dxa"/>
            <w:vAlign w:val="center"/>
          </w:tcPr>
          <w:p w14:paraId="1B6FD99D" w14:textId="4F38BEEF" w:rsidR="001025FB" w:rsidRPr="00ED3A99" w:rsidRDefault="001025FB" w:rsidP="000C2347">
            <w:pPr>
              <w:pStyle w:val="Els-body-text"/>
              <w:rPr>
                <w:sz w:val="19"/>
                <w:szCs w:val="19"/>
                <w:lang w:val="en-GB"/>
              </w:rPr>
            </w:pPr>
            <w:r w:rsidRPr="00ED3A99">
              <w:rPr>
                <w:color w:val="000000"/>
                <w:kern w:val="24"/>
                <w:sz w:val="19"/>
                <w:szCs w:val="19"/>
              </w:rPr>
              <w:t>9.38</w:t>
            </w:r>
          </w:p>
        </w:tc>
      </w:tr>
      <w:tr w:rsidR="001025FB" w:rsidRPr="00ED3A99" w14:paraId="6EB09537" w14:textId="77777777" w:rsidTr="00B30EE9">
        <w:trPr>
          <w:trHeight w:val="227"/>
        </w:trPr>
        <w:tc>
          <w:tcPr>
            <w:tcW w:w="2972" w:type="dxa"/>
            <w:vAlign w:val="center"/>
          </w:tcPr>
          <w:p w14:paraId="5CC967D0" w14:textId="3FF2AA6B" w:rsidR="001025FB" w:rsidRPr="00ED3A99" w:rsidRDefault="001025FB" w:rsidP="000C2347">
            <w:pPr>
              <w:pStyle w:val="Els-body-text"/>
              <w:rPr>
                <w:sz w:val="19"/>
                <w:szCs w:val="19"/>
                <w:lang w:val="en-GB"/>
              </w:rPr>
            </w:pPr>
            <w:r w:rsidRPr="00ED3A99">
              <w:rPr>
                <w:color w:val="000000"/>
                <w:kern w:val="24"/>
                <w:sz w:val="19"/>
                <w:szCs w:val="19"/>
              </w:rPr>
              <w:t>Char combustion boiler</w:t>
            </w:r>
          </w:p>
        </w:tc>
        <w:tc>
          <w:tcPr>
            <w:tcW w:w="992" w:type="dxa"/>
            <w:vAlign w:val="center"/>
          </w:tcPr>
          <w:p w14:paraId="35A07B0B" w14:textId="153F68A1" w:rsidR="001025FB" w:rsidRPr="00ED3A99" w:rsidRDefault="001025FB" w:rsidP="000C2347">
            <w:pPr>
              <w:pStyle w:val="Els-body-text"/>
              <w:rPr>
                <w:sz w:val="19"/>
                <w:szCs w:val="19"/>
                <w:lang w:val="en-GB"/>
              </w:rPr>
            </w:pPr>
            <w:r w:rsidRPr="00ED3A99">
              <w:rPr>
                <w:color w:val="000000"/>
                <w:kern w:val="24"/>
                <w:sz w:val="19"/>
                <w:szCs w:val="19"/>
              </w:rPr>
              <w:t>5160 kW</w:t>
            </w:r>
          </w:p>
        </w:tc>
        <w:tc>
          <w:tcPr>
            <w:tcW w:w="1418" w:type="dxa"/>
            <w:vAlign w:val="bottom"/>
          </w:tcPr>
          <w:p w14:paraId="520EBAF7" w14:textId="71CC48A5" w:rsidR="001025FB" w:rsidRPr="00ED3A99" w:rsidRDefault="001025FB" w:rsidP="000C2347">
            <w:pPr>
              <w:pStyle w:val="Els-body-text"/>
              <w:rPr>
                <w:sz w:val="19"/>
                <w:szCs w:val="19"/>
                <w:lang w:val="en-GB"/>
              </w:rPr>
            </w:pPr>
            <w:r w:rsidRPr="00ED3A99">
              <w:rPr>
                <w:color w:val="000000"/>
                <w:sz w:val="19"/>
                <w:szCs w:val="19"/>
              </w:rPr>
              <w:t>2.85</w:t>
            </w:r>
          </w:p>
        </w:tc>
        <w:tc>
          <w:tcPr>
            <w:tcW w:w="1701" w:type="dxa"/>
            <w:vAlign w:val="center"/>
          </w:tcPr>
          <w:p w14:paraId="689D1EB9" w14:textId="0E3F62CE" w:rsidR="001025FB" w:rsidRPr="00ED3A99" w:rsidRDefault="001025FB" w:rsidP="000C2347">
            <w:pPr>
              <w:pStyle w:val="Els-body-text"/>
              <w:rPr>
                <w:sz w:val="19"/>
                <w:szCs w:val="19"/>
                <w:lang w:val="en-GB"/>
              </w:rPr>
            </w:pPr>
            <w:r w:rsidRPr="00ED3A99">
              <w:rPr>
                <w:color w:val="000000"/>
                <w:kern w:val="24"/>
                <w:sz w:val="19"/>
                <w:szCs w:val="19"/>
              </w:rPr>
              <w:t>6.97</w:t>
            </w:r>
          </w:p>
        </w:tc>
      </w:tr>
      <w:tr w:rsidR="001025FB" w:rsidRPr="00ED3A99" w14:paraId="5F641C04" w14:textId="77777777" w:rsidTr="00B30EE9">
        <w:trPr>
          <w:trHeight w:val="227"/>
        </w:trPr>
        <w:tc>
          <w:tcPr>
            <w:tcW w:w="2972" w:type="dxa"/>
            <w:vAlign w:val="center"/>
          </w:tcPr>
          <w:p w14:paraId="07596269" w14:textId="0DC211A2" w:rsidR="001025FB" w:rsidRPr="00ED3A99" w:rsidRDefault="000C2347" w:rsidP="000C2347">
            <w:pPr>
              <w:pStyle w:val="NormalWeb"/>
              <w:spacing w:before="0" w:beforeAutospacing="0" w:after="0" w:afterAutospacing="0"/>
              <w:textAlignment w:val="bottom"/>
              <w:rPr>
                <w:sz w:val="19"/>
                <w:szCs w:val="19"/>
              </w:rPr>
            </w:pPr>
            <w:r w:rsidRPr="00ED3A99">
              <w:rPr>
                <w:color w:val="000000"/>
                <w:kern w:val="24"/>
                <w:sz w:val="19"/>
                <w:szCs w:val="19"/>
              </w:rPr>
              <w:t>C</w:t>
            </w:r>
            <w:r w:rsidR="001025FB" w:rsidRPr="00ED3A99">
              <w:rPr>
                <w:color w:val="000000"/>
                <w:kern w:val="24"/>
                <w:sz w:val="19"/>
                <w:szCs w:val="19"/>
              </w:rPr>
              <w:t>ompressors</w:t>
            </w:r>
            <w:r w:rsidR="00C16C67" w:rsidRPr="00ED3A99">
              <w:rPr>
                <w:color w:val="000000"/>
                <w:kern w:val="24"/>
                <w:sz w:val="19"/>
                <w:szCs w:val="19"/>
              </w:rPr>
              <w:t xml:space="preserve"> </w:t>
            </w:r>
            <w:r w:rsidR="001025FB" w:rsidRPr="00ED3A99">
              <w:rPr>
                <w:color w:val="000000"/>
                <w:kern w:val="24"/>
                <w:sz w:val="19"/>
                <w:szCs w:val="19"/>
              </w:rPr>
              <w:t>(</w:t>
            </w:r>
            <w:r w:rsidR="00E5527D">
              <w:rPr>
                <w:color w:val="000000"/>
                <w:kern w:val="24"/>
                <w:sz w:val="19"/>
                <w:szCs w:val="19"/>
              </w:rPr>
              <w:t xml:space="preserve">all </w:t>
            </w:r>
            <w:r w:rsidR="001025FB" w:rsidRPr="00ED3A99">
              <w:rPr>
                <w:color w:val="000000"/>
                <w:kern w:val="24"/>
                <w:sz w:val="19"/>
                <w:szCs w:val="19"/>
              </w:rPr>
              <w:t>4 units)</w:t>
            </w:r>
          </w:p>
        </w:tc>
        <w:tc>
          <w:tcPr>
            <w:tcW w:w="992" w:type="dxa"/>
            <w:vAlign w:val="center"/>
          </w:tcPr>
          <w:p w14:paraId="0B20FA57" w14:textId="3C9D9B84" w:rsidR="001025FB" w:rsidRPr="00ED3A99" w:rsidRDefault="001025FB" w:rsidP="000C2347">
            <w:pPr>
              <w:pStyle w:val="Els-body-text"/>
              <w:rPr>
                <w:sz w:val="19"/>
                <w:szCs w:val="19"/>
                <w:lang w:val="en-GB"/>
              </w:rPr>
            </w:pPr>
            <w:r w:rsidRPr="00ED3A99">
              <w:rPr>
                <w:color w:val="000000"/>
                <w:kern w:val="24"/>
                <w:sz w:val="19"/>
                <w:szCs w:val="19"/>
              </w:rPr>
              <w:t>650 kW</w:t>
            </w:r>
          </w:p>
        </w:tc>
        <w:tc>
          <w:tcPr>
            <w:tcW w:w="1418" w:type="dxa"/>
            <w:vAlign w:val="bottom"/>
          </w:tcPr>
          <w:p w14:paraId="5D659EDF" w14:textId="737C7C5C" w:rsidR="001025FB" w:rsidRPr="00ED3A99" w:rsidRDefault="001025FB" w:rsidP="000C2347">
            <w:pPr>
              <w:pStyle w:val="Els-body-text"/>
              <w:rPr>
                <w:sz w:val="19"/>
                <w:szCs w:val="19"/>
                <w:lang w:val="en-GB"/>
              </w:rPr>
            </w:pPr>
            <w:r w:rsidRPr="00ED3A99">
              <w:rPr>
                <w:color w:val="000000"/>
                <w:sz w:val="19"/>
                <w:szCs w:val="19"/>
              </w:rPr>
              <w:t>0.58</w:t>
            </w:r>
          </w:p>
        </w:tc>
        <w:tc>
          <w:tcPr>
            <w:tcW w:w="1701" w:type="dxa"/>
            <w:vAlign w:val="center"/>
          </w:tcPr>
          <w:p w14:paraId="0B3084D2" w14:textId="0B5AA35E" w:rsidR="001025FB" w:rsidRPr="00ED3A99" w:rsidRDefault="001025FB" w:rsidP="000C2347">
            <w:pPr>
              <w:pStyle w:val="Els-body-text"/>
              <w:rPr>
                <w:sz w:val="19"/>
                <w:szCs w:val="19"/>
                <w:lang w:val="en-GB"/>
              </w:rPr>
            </w:pPr>
            <w:r w:rsidRPr="00ED3A99">
              <w:rPr>
                <w:color w:val="000000"/>
                <w:kern w:val="24"/>
                <w:sz w:val="19"/>
                <w:szCs w:val="19"/>
              </w:rPr>
              <w:t>1.25</w:t>
            </w:r>
          </w:p>
        </w:tc>
      </w:tr>
      <w:tr w:rsidR="001025FB" w:rsidRPr="00ED3A99" w14:paraId="38F00944" w14:textId="77777777" w:rsidTr="00B30EE9">
        <w:trPr>
          <w:trHeight w:val="227"/>
        </w:trPr>
        <w:tc>
          <w:tcPr>
            <w:tcW w:w="2972" w:type="dxa"/>
            <w:vAlign w:val="center"/>
          </w:tcPr>
          <w:p w14:paraId="1E93BA58" w14:textId="32704708" w:rsidR="001025FB" w:rsidRPr="00ED3A99" w:rsidRDefault="001025FB" w:rsidP="000C2347">
            <w:pPr>
              <w:pStyle w:val="Els-body-text"/>
              <w:rPr>
                <w:sz w:val="19"/>
                <w:szCs w:val="19"/>
                <w:lang w:val="en-GB"/>
              </w:rPr>
            </w:pPr>
            <w:r w:rsidRPr="00ED3A99">
              <w:rPr>
                <w:color w:val="000000"/>
                <w:kern w:val="24"/>
                <w:sz w:val="19"/>
                <w:szCs w:val="19"/>
              </w:rPr>
              <w:t xml:space="preserve">Heat recovery </w:t>
            </w:r>
            <w:proofErr w:type="gramStart"/>
            <w:r w:rsidRPr="00ED3A99">
              <w:rPr>
                <w:color w:val="000000"/>
                <w:kern w:val="24"/>
                <w:sz w:val="19"/>
                <w:szCs w:val="19"/>
              </w:rPr>
              <w:t>exchanger-1</w:t>
            </w:r>
            <w:proofErr w:type="gramEnd"/>
          </w:p>
        </w:tc>
        <w:tc>
          <w:tcPr>
            <w:tcW w:w="992" w:type="dxa"/>
            <w:vAlign w:val="center"/>
          </w:tcPr>
          <w:p w14:paraId="2460833C" w14:textId="5F7ECE0E" w:rsidR="001025FB" w:rsidRPr="00ED3A99" w:rsidRDefault="001025FB" w:rsidP="000C2347">
            <w:pPr>
              <w:pStyle w:val="Els-body-text"/>
              <w:rPr>
                <w:sz w:val="19"/>
                <w:szCs w:val="19"/>
                <w:lang w:val="en-GB"/>
              </w:rPr>
            </w:pPr>
            <w:r w:rsidRPr="00ED3A99">
              <w:rPr>
                <w:color w:val="000000"/>
                <w:kern w:val="24"/>
                <w:sz w:val="19"/>
                <w:szCs w:val="19"/>
              </w:rPr>
              <w:t>85.1 m</w:t>
            </w:r>
            <w:r w:rsidR="00383C44" w:rsidRPr="00ED3A99">
              <w:rPr>
                <w:color w:val="000000"/>
                <w:kern w:val="24"/>
                <w:sz w:val="19"/>
                <w:szCs w:val="19"/>
                <w:vertAlign w:val="superscript"/>
              </w:rPr>
              <w:t>2</w:t>
            </w:r>
          </w:p>
        </w:tc>
        <w:tc>
          <w:tcPr>
            <w:tcW w:w="1418" w:type="dxa"/>
            <w:vAlign w:val="bottom"/>
          </w:tcPr>
          <w:p w14:paraId="232C3D74" w14:textId="02EE7042" w:rsidR="001025FB" w:rsidRPr="00ED3A99" w:rsidRDefault="001025FB" w:rsidP="000C2347">
            <w:pPr>
              <w:pStyle w:val="Els-body-text"/>
              <w:rPr>
                <w:sz w:val="19"/>
                <w:szCs w:val="19"/>
                <w:lang w:val="en-GB"/>
              </w:rPr>
            </w:pPr>
            <w:r w:rsidRPr="00ED3A99">
              <w:rPr>
                <w:color w:val="000000"/>
                <w:sz w:val="19"/>
                <w:szCs w:val="19"/>
              </w:rPr>
              <w:t>0.16</w:t>
            </w:r>
          </w:p>
        </w:tc>
        <w:tc>
          <w:tcPr>
            <w:tcW w:w="1701" w:type="dxa"/>
            <w:vAlign w:val="center"/>
          </w:tcPr>
          <w:p w14:paraId="2597504B" w14:textId="5E7074B8" w:rsidR="001025FB" w:rsidRPr="00ED3A99" w:rsidRDefault="001025FB" w:rsidP="000C2347">
            <w:pPr>
              <w:pStyle w:val="Els-body-text"/>
              <w:rPr>
                <w:sz w:val="19"/>
                <w:szCs w:val="19"/>
                <w:lang w:val="en-GB"/>
              </w:rPr>
            </w:pPr>
            <w:r w:rsidRPr="00ED3A99">
              <w:rPr>
                <w:color w:val="000000"/>
                <w:kern w:val="24"/>
                <w:sz w:val="19"/>
                <w:szCs w:val="19"/>
              </w:rPr>
              <w:t>0.34</w:t>
            </w:r>
          </w:p>
        </w:tc>
      </w:tr>
      <w:tr w:rsidR="001025FB" w:rsidRPr="00ED3A99" w14:paraId="6BD21CBE" w14:textId="77777777" w:rsidTr="00B30EE9">
        <w:trPr>
          <w:trHeight w:val="227"/>
        </w:trPr>
        <w:tc>
          <w:tcPr>
            <w:tcW w:w="2972" w:type="dxa"/>
            <w:vAlign w:val="center"/>
          </w:tcPr>
          <w:p w14:paraId="6BA03C22" w14:textId="1861CD68" w:rsidR="001025FB" w:rsidRPr="00ED3A99" w:rsidRDefault="001025FB" w:rsidP="000C2347">
            <w:pPr>
              <w:pStyle w:val="Els-body-text"/>
              <w:rPr>
                <w:sz w:val="19"/>
                <w:szCs w:val="19"/>
                <w:lang w:val="en-GB"/>
              </w:rPr>
            </w:pPr>
            <w:r w:rsidRPr="00ED3A99">
              <w:rPr>
                <w:color w:val="000000"/>
                <w:kern w:val="24"/>
                <w:sz w:val="19"/>
                <w:szCs w:val="19"/>
              </w:rPr>
              <w:t xml:space="preserve">Heat recovery </w:t>
            </w:r>
            <w:proofErr w:type="gramStart"/>
            <w:r w:rsidRPr="00ED3A99">
              <w:rPr>
                <w:color w:val="000000"/>
                <w:kern w:val="24"/>
                <w:sz w:val="19"/>
                <w:szCs w:val="19"/>
              </w:rPr>
              <w:t>exchanger-2</w:t>
            </w:r>
            <w:proofErr w:type="gramEnd"/>
          </w:p>
        </w:tc>
        <w:tc>
          <w:tcPr>
            <w:tcW w:w="992" w:type="dxa"/>
            <w:vAlign w:val="center"/>
          </w:tcPr>
          <w:p w14:paraId="7D2FDAA9" w14:textId="0FE446A6" w:rsidR="001025FB" w:rsidRPr="00ED3A99" w:rsidRDefault="001025FB" w:rsidP="000C2347">
            <w:pPr>
              <w:pStyle w:val="Els-body-text"/>
              <w:rPr>
                <w:sz w:val="19"/>
                <w:szCs w:val="19"/>
                <w:lang w:val="en-GB"/>
              </w:rPr>
            </w:pPr>
            <w:r w:rsidRPr="00ED3A99">
              <w:rPr>
                <w:color w:val="000000"/>
                <w:kern w:val="24"/>
                <w:sz w:val="19"/>
                <w:szCs w:val="19"/>
              </w:rPr>
              <w:t>258.2 m</w:t>
            </w:r>
            <w:r w:rsidR="00383C44" w:rsidRPr="00ED3A99">
              <w:rPr>
                <w:color w:val="000000"/>
                <w:kern w:val="24"/>
                <w:sz w:val="19"/>
                <w:szCs w:val="19"/>
                <w:vertAlign w:val="superscript"/>
              </w:rPr>
              <w:t>2</w:t>
            </w:r>
          </w:p>
        </w:tc>
        <w:tc>
          <w:tcPr>
            <w:tcW w:w="1418" w:type="dxa"/>
            <w:vAlign w:val="bottom"/>
          </w:tcPr>
          <w:p w14:paraId="256091A1" w14:textId="30C8B428" w:rsidR="001025FB" w:rsidRPr="00ED3A99" w:rsidRDefault="001025FB" w:rsidP="000C2347">
            <w:pPr>
              <w:pStyle w:val="Els-body-text"/>
              <w:rPr>
                <w:sz w:val="19"/>
                <w:szCs w:val="19"/>
                <w:lang w:val="en-GB"/>
              </w:rPr>
            </w:pPr>
            <w:r w:rsidRPr="00ED3A99">
              <w:rPr>
                <w:color w:val="000000"/>
                <w:sz w:val="19"/>
                <w:szCs w:val="19"/>
              </w:rPr>
              <w:t>0.28</w:t>
            </w:r>
          </w:p>
        </w:tc>
        <w:tc>
          <w:tcPr>
            <w:tcW w:w="1701" w:type="dxa"/>
            <w:vAlign w:val="center"/>
          </w:tcPr>
          <w:p w14:paraId="2FE47E68" w14:textId="331AA0BC" w:rsidR="001025FB" w:rsidRPr="00ED3A99" w:rsidRDefault="001025FB" w:rsidP="000C2347">
            <w:pPr>
              <w:pStyle w:val="Els-body-text"/>
              <w:rPr>
                <w:sz w:val="19"/>
                <w:szCs w:val="19"/>
                <w:lang w:val="en-GB"/>
              </w:rPr>
            </w:pPr>
            <w:r w:rsidRPr="00ED3A99">
              <w:rPr>
                <w:color w:val="000000"/>
                <w:kern w:val="24"/>
                <w:sz w:val="19"/>
                <w:szCs w:val="19"/>
              </w:rPr>
              <w:t>0.60</w:t>
            </w:r>
          </w:p>
        </w:tc>
      </w:tr>
      <w:tr w:rsidR="001025FB" w:rsidRPr="00ED3A99" w14:paraId="69DD73A6" w14:textId="77777777" w:rsidTr="00B30EE9">
        <w:trPr>
          <w:trHeight w:val="227"/>
        </w:trPr>
        <w:tc>
          <w:tcPr>
            <w:tcW w:w="2972" w:type="dxa"/>
            <w:vAlign w:val="center"/>
          </w:tcPr>
          <w:p w14:paraId="76A5915E" w14:textId="7B11DDE7" w:rsidR="001025FB" w:rsidRPr="00ED3A99" w:rsidRDefault="001025FB" w:rsidP="000C2347">
            <w:pPr>
              <w:pStyle w:val="Els-body-text"/>
              <w:rPr>
                <w:sz w:val="19"/>
                <w:szCs w:val="19"/>
                <w:lang w:val="en-GB"/>
              </w:rPr>
            </w:pPr>
            <w:r w:rsidRPr="00ED3A99">
              <w:rPr>
                <w:color w:val="000000"/>
                <w:kern w:val="24"/>
                <w:sz w:val="19"/>
                <w:szCs w:val="19"/>
              </w:rPr>
              <w:t xml:space="preserve">Heat recovery </w:t>
            </w:r>
            <w:proofErr w:type="gramStart"/>
            <w:r w:rsidRPr="00ED3A99">
              <w:rPr>
                <w:color w:val="000000"/>
                <w:kern w:val="24"/>
                <w:sz w:val="19"/>
                <w:szCs w:val="19"/>
              </w:rPr>
              <w:t>exchanger-3</w:t>
            </w:r>
            <w:proofErr w:type="gramEnd"/>
          </w:p>
        </w:tc>
        <w:tc>
          <w:tcPr>
            <w:tcW w:w="992" w:type="dxa"/>
            <w:vAlign w:val="center"/>
          </w:tcPr>
          <w:p w14:paraId="48C6B62A" w14:textId="48C5793B" w:rsidR="001025FB" w:rsidRPr="00ED3A99" w:rsidRDefault="001025FB" w:rsidP="000C2347">
            <w:pPr>
              <w:pStyle w:val="Els-body-text"/>
              <w:rPr>
                <w:sz w:val="19"/>
                <w:szCs w:val="19"/>
                <w:lang w:val="en-GB"/>
              </w:rPr>
            </w:pPr>
            <w:r w:rsidRPr="00ED3A99">
              <w:rPr>
                <w:color w:val="000000"/>
                <w:kern w:val="24"/>
                <w:sz w:val="19"/>
                <w:szCs w:val="19"/>
              </w:rPr>
              <w:t>113.1 m</w:t>
            </w:r>
            <w:r w:rsidR="00383C44" w:rsidRPr="00ED3A99">
              <w:rPr>
                <w:color w:val="000000"/>
                <w:kern w:val="24"/>
                <w:sz w:val="19"/>
                <w:szCs w:val="19"/>
                <w:vertAlign w:val="superscript"/>
              </w:rPr>
              <w:t>2</w:t>
            </w:r>
          </w:p>
        </w:tc>
        <w:tc>
          <w:tcPr>
            <w:tcW w:w="1418" w:type="dxa"/>
            <w:vAlign w:val="bottom"/>
          </w:tcPr>
          <w:p w14:paraId="7DDF60F9" w14:textId="7F8907B4" w:rsidR="001025FB" w:rsidRPr="00ED3A99" w:rsidRDefault="001025FB" w:rsidP="000C2347">
            <w:pPr>
              <w:pStyle w:val="Els-body-text"/>
              <w:rPr>
                <w:sz w:val="19"/>
                <w:szCs w:val="19"/>
                <w:lang w:val="en-GB"/>
              </w:rPr>
            </w:pPr>
            <w:r w:rsidRPr="00ED3A99">
              <w:rPr>
                <w:color w:val="000000"/>
                <w:sz w:val="19"/>
                <w:szCs w:val="19"/>
              </w:rPr>
              <w:t>0.18</w:t>
            </w:r>
          </w:p>
        </w:tc>
        <w:tc>
          <w:tcPr>
            <w:tcW w:w="1701" w:type="dxa"/>
            <w:vAlign w:val="center"/>
          </w:tcPr>
          <w:p w14:paraId="0A473C35" w14:textId="37B40096" w:rsidR="001025FB" w:rsidRPr="00ED3A99" w:rsidRDefault="001025FB" w:rsidP="000C2347">
            <w:pPr>
              <w:pStyle w:val="Els-body-text"/>
              <w:rPr>
                <w:sz w:val="19"/>
                <w:szCs w:val="19"/>
                <w:lang w:val="en-GB"/>
              </w:rPr>
            </w:pPr>
            <w:r w:rsidRPr="00ED3A99">
              <w:rPr>
                <w:color w:val="000000"/>
                <w:kern w:val="24"/>
                <w:sz w:val="19"/>
                <w:szCs w:val="19"/>
              </w:rPr>
              <w:t>0.39</w:t>
            </w:r>
          </w:p>
        </w:tc>
      </w:tr>
      <w:tr w:rsidR="001025FB" w:rsidRPr="00ED3A99" w14:paraId="38060240" w14:textId="77777777" w:rsidTr="00B30EE9">
        <w:trPr>
          <w:trHeight w:val="227"/>
        </w:trPr>
        <w:tc>
          <w:tcPr>
            <w:tcW w:w="2972" w:type="dxa"/>
            <w:vAlign w:val="center"/>
          </w:tcPr>
          <w:p w14:paraId="25D963C3" w14:textId="473223FF" w:rsidR="001025FB" w:rsidRPr="00ED3A99" w:rsidRDefault="001025FB" w:rsidP="000C2347">
            <w:pPr>
              <w:pStyle w:val="NormalWeb"/>
              <w:spacing w:before="0" w:beforeAutospacing="0" w:after="0" w:afterAutospacing="0"/>
              <w:textAlignment w:val="bottom"/>
              <w:rPr>
                <w:sz w:val="19"/>
                <w:szCs w:val="19"/>
              </w:rPr>
            </w:pPr>
            <w:r w:rsidRPr="00ED3A99">
              <w:rPr>
                <w:color w:val="000000"/>
                <w:kern w:val="24"/>
                <w:sz w:val="19"/>
                <w:szCs w:val="19"/>
              </w:rPr>
              <w:t>Water coolers</w:t>
            </w:r>
            <w:r w:rsidR="00C16C67" w:rsidRPr="00ED3A99">
              <w:rPr>
                <w:color w:val="000000"/>
                <w:kern w:val="24"/>
                <w:sz w:val="19"/>
                <w:szCs w:val="19"/>
              </w:rPr>
              <w:t xml:space="preserve"> </w:t>
            </w:r>
            <w:r w:rsidRPr="00ED3A99">
              <w:rPr>
                <w:color w:val="000000"/>
                <w:kern w:val="24"/>
                <w:sz w:val="19"/>
                <w:szCs w:val="19"/>
              </w:rPr>
              <w:t>(</w:t>
            </w:r>
            <w:r w:rsidR="00E5527D">
              <w:rPr>
                <w:color w:val="000000"/>
                <w:kern w:val="24"/>
                <w:sz w:val="19"/>
                <w:szCs w:val="19"/>
              </w:rPr>
              <w:t xml:space="preserve">all </w:t>
            </w:r>
            <w:r w:rsidRPr="00ED3A99">
              <w:rPr>
                <w:color w:val="000000"/>
                <w:kern w:val="24"/>
                <w:sz w:val="19"/>
                <w:szCs w:val="19"/>
              </w:rPr>
              <w:t>8 units)</w:t>
            </w:r>
          </w:p>
        </w:tc>
        <w:tc>
          <w:tcPr>
            <w:tcW w:w="992" w:type="dxa"/>
            <w:vAlign w:val="center"/>
          </w:tcPr>
          <w:p w14:paraId="1FD4E5D9" w14:textId="603AAA9B" w:rsidR="001025FB" w:rsidRPr="00ED3A99" w:rsidRDefault="001025FB" w:rsidP="000C2347">
            <w:pPr>
              <w:pStyle w:val="Els-body-text"/>
              <w:rPr>
                <w:sz w:val="19"/>
                <w:szCs w:val="19"/>
                <w:lang w:val="en-GB"/>
              </w:rPr>
            </w:pPr>
            <w:r w:rsidRPr="00ED3A99">
              <w:rPr>
                <w:color w:val="000000"/>
                <w:kern w:val="24"/>
                <w:sz w:val="19"/>
                <w:szCs w:val="19"/>
              </w:rPr>
              <w:t>276.7 m</w:t>
            </w:r>
            <w:r w:rsidR="00383C44" w:rsidRPr="00ED3A99">
              <w:rPr>
                <w:color w:val="000000"/>
                <w:kern w:val="24"/>
                <w:sz w:val="19"/>
                <w:szCs w:val="19"/>
                <w:vertAlign w:val="superscript"/>
              </w:rPr>
              <w:t>2</w:t>
            </w:r>
          </w:p>
        </w:tc>
        <w:tc>
          <w:tcPr>
            <w:tcW w:w="1418" w:type="dxa"/>
            <w:vAlign w:val="bottom"/>
          </w:tcPr>
          <w:p w14:paraId="737A5D0C" w14:textId="6C3B5A28" w:rsidR="001025FB" w:rsidRPr="00ED3A99" w:rsidRDefault="001025FB" w:rsidP="000C2347">
            <w:pPr>
              <w:pStyle w:val="Els-body-text"/>
              <w:rPr>
                <w:sz w:val="19"/>
                <w:szCs w:val="19"/>
                <w:lang w:val="en-GB"/>
              </w:rPr>
            </w:pPr>
            <w:r w:rsidRPr="00ED3A99">
              <w:rPr>
                <w:color w:val="000000"/>
                <w:sz w:val="19"/>
                <w:szCs w:val="19"/>
              </w:rPr>
              <w:t>1.12</w:t>
            </w:r>
          </w:p>
        </w:tc>
        <w:tc>
          <w:tcPr>
            <w:tcW w:w="1701" w:type="dxa"/>
            <w:vAlign w:val="center"/>
          </w:tcPr>
          <w:p w14:paraId="45826FC0" w14:textId="54A9FED6" w:rsidR="001025FB" w:rsidRPr="00ED3A99" w:rsidRDefault="001025FB" w:rsidP="000C2347">
            <w:pPr>
              <w:pStyle w:val="Els-body-text"/>
              <w:rPr>
                <w:sz w:val="19"/>
                <w:szCs w:val="19"/>
                <w:lang w:val="en-GB"/>
              </w:rPr>
            </w:pPr>
            <w:r w:rsidRPr="00ED3A99">
              <w:rPr>
                <w:color w:val="000000"/>
                <w:kern w:val="24"/>
                <w:sz w:val="19"/>
                <w:szCs w:val="19"/>
              </w:rPr>
              <w:t>3.69</w:t>
            </w:r>
          </w:p>
        </w:tc>
      </w:tr>
    </w:tbl>
    <w:p w14:paraId="27A47427" w14:textId="13506C38" w:rsidR="009D184E" w:rsidRDefault="009D184E" w:rsidP="001025FB">
      <w:pPr>
        <w:pStyle w:val="Caption"/>
        <w:keepNext/>
        <w:tabs>
          <w:tab w:val="right" w:pos="7087"/>
        </w:tabs>
      </w:pPr>
      <w:bookmarkStart w:id="4" w:name="_Ref150506536"/>
      <w:r w:rsidRPr="00221418">
        <w:rPr>
          <w:b/>
          <w:bCs/>
        </w:rPr>
        <w:lastRenderedPageBreak/>
        <w:t xml:space="preserve">Table </w:t>
      </w:r>
      <w:r w:rsidRPr="00221418">
        <w:rPr>
          <w:b/>
          <w:bCs/>
        </w:rPr>
        <w:fldChar w:fldCharType="begin"/>
      </w:r>
      <w:r w:rsidRPr="00221418">
        <w:rPr>
          <w:b/>
          <w:bCs/>
        </w:rPr>
        <w:instrText xml:space="preserve"> SEQ Table \* ARABIC </w:instrText>
      </w:r>
      <w:r w:rsidRPr="00221418">
        <w:rPr>
          <w:b/>
          <w:bCs/>
        </w:rPr>
        <w:fldChar w:fldCharType="separate"/>
      </w:r>
      <w:r w:rsidR="00F962E1">
        <w:rPr>
          <w:b/>
          <w:bCs/>
          <w:noProof/>
        </w:rPr>
        <w:t>2</w:t>
      </w:r>
      <w:r w:rsidRPr="00221418">
        <w:rPr>
          <w:b/>
          <w:bCs/>
        </w:rPr>
        <w:fldChar w:fldCharType="end"/>
      </w:r>
      <w:bookmarkEnd w:id="4"/>
      <w:r>
        <w:t xml:space="preserve">: Costs of </w:t>
      </w:r>
      <w:r w:rsidRPr="00B30EE9">
        <w:t>consumables</w:t>
      </w:r>
      <w:r w:rsidR="007F5F0A" w:rsidRPr="00B30EE9">
        <w:t xml:space="preserve"> (</w:t>
      </w:r>
      <w:r w:rsidR="0023619B">
        <w:t xml:space="preserve">light </w:t>
      </w:r>
      <w:r w:rsidR="007F5F0A" w:rsidRPr="00B30EE9">
        <w:t>blue)</w:t>
      </w:r>
      <w:r w:rsidRPr="008F4675">
        <w:t xml:space="preserve">, </w:t>
      </w:r>
      <w:r w:rsidRPr="00B30EE9">
        <w:t>utilities</w:t>
      </w:r>
      <w:r w:rsidR="007F5F0A" w:rsidRPr="00B30EE9">
        <w:t xml:space="preserve"> (red)</w:t>
      </w:r>
      <w:r w:rsidRPr="008F4675">
        <w:t xml:space="preserve"> and </w:t>
      </w:r>
      <w:r w:rsidRPr="00B30EE9">
        <w:t>product</w:t>
      </w:r>
      <w:r w:rsidR="001025FB" w:rsidRPr="00B30EE9">
        <w:t>s</w:t>
      </w:r>
      <w:r w:rsidR="007F5F0A" w:rsidRPr="00B30EE9">
        <w:t xml:space="preserve"> (</w:t>
      </w:r>
      <w:r w:rsidR="0023619B">
        <w:t>grey</w:t>
      </w:r>
      <w:r w:rsidR="0023619B" w:rsidRPr="00B30EE9">
        <w:t xml:space="preserve"> </w:t>
      </w:r>
      <w:r w:rsidR="008F4675" w:rsidRPr="00B30EE9">
        <w:t>background)</w:t>
      </w:r>
      <w:r w:rsidR="00A8180C">
        <w:t>.</w:t>
      </w:r>
      <w:r w:rsidR="001025FB">
        <w:tab/>
      </w:r>
    </w:p>
    <w:tbl>
      <w:tblPr>
        <w:tblStyle w:val="TableGrid"/>
        <w:tblW w:w="7077" w:type="dxa"/>
        <w:tblLayout w:type="fixed"/>
        <w:tblCellMar>
          <w:left w:w="57" w:type="dxa"/>
          <w:right w:w="57" w:type="dxa"/>
        </w:tblCellMar>
        <w:tblLook w:val="04A0" w:firstRow="1" w:lastRow="0" w:firstColumn="1" w:lastColumn="0" w:noHBand="0" w:noVBand="1"/>
      </w:tblPr>
      <w:tblGrid>
        <w:gridCol w:w="1413"/>
        <w:gridCol w:w="709"/>
        <w:gridCol w:w="992"/>
        <w:gridCol w:w="1417"/>
        <w:gridCol w:w="993"/>
        <w:gridCol w:w="1553"/>
      </w:tblGrid>
      <w:tr w:rsidR="00AD2DC4" w:rsidRPr="00E925B1" w14:paraId="7E1457EE" w14:textId="5A7EBD42" w:rsidTr="007F526F">
        <w:tc>
          <w:tcPr>
            <w:tcW w:w="1413" w:type="dxa"/>
          </w:tcPr>
          <w:p w14:paraId="1C88CC49" w14:textId="0854AA9C" w:rsidR="00AD2DC4" w:rsidRPr="00E925B1" w:rsidRDefault="00AD2DC4">
            <w:pPr>
              <w:pStyle w:val="Els-body-text"/>
              <w:rPr>
                <w:b/>
                <w:bCs/>
                <w:sz w:val="19"/>
                <w:szCs w:val="19"/>
                <w:lang w:val="en-GB"/>
              </w:rPr>
            </w:pPr>
            <w:r w:rsidRPr="00E925B1">
              <w:rPr>
                <w:b/>
                <w:bCs/>
                <w:sz w:val="19"/>
                <w:szCs w:val="19"/>
                <w:lang w:val="en-GB"/>
              </w:rPr>
              <w:t>Chemical</w:t>
            </w:r>
          </w:p>
        </w:tc>
        <w:tc>
          <w:tcPr>
            <w:tcW w:w="709" w:type="dxa"/>
          </w:tcPr>
          <w:p w14:paraId="4711C41E" w14:textId="35353510" w:rsidR="00AD2DC4" w:rsidRPr="00E925B1" w:rsidRDefault="00AD2DC4">
            <w:pPr>
              <w:pStyle w:val="Els-body-text"/>
              <w:rPr>
                <w:b/>
                <w:bCs/>
                <w:sz w:val="19"/>
                <w:szCs w:val="19"/>
                <w:lang w:val="en-GB"/>
              </w:rPr>
            </w:pPr>
            <w:r w:rsidRPr="00E925B1">
              <w:rPr>
                <w:b/>
                <w:bCs/>
                <w:sz w:val="19"/>
                <w:szCs w:val="19"/>
                <w:lang w:val="en-GB"/>
              </w:rPr>
              <w:t>Price ($/ton)</w:t>
            </w:r>
          </w:p>
        </w:tc>
        <w:tc>
          <w:tcPr>
            <w:tcW w:w="992" w:type="dxa"/>
            <w:tcBorders>
              <w:right w:val="single" w:sz="12" w:space="0" w:color="auto"/>
            </w:tcBorders>
          </w:tcPr>
          <w:p w14:paraId="0F9D8433" w14:textId="54F6A8D7" w:rsidR="00AD2DC4" w:rsidRPr="00E925B1" w:rsidRDefault="00AD2DC4">
            <w:pPr>
              <w:pStyle w:val="Els-body-text"/>
              <w:rPr>
                <w:b/>
                <w:bCs/>
                <w:sz w:val="19"/>
                <w:szCs w:val="19"/>
                <w:lang w:val="en-GB"/>
              </w:rPr>
            </w:pPr>
            <w:r w:rsidRPr="00E925B1">
              <w:rPr>
                <w:b/>
                <w:bCs/>
                <w:sz w:val="19"/>
                <w:szCs w:val="19"/>
                <w:lang w:val="en-GB"/>
              </w:rPr>
              <w:t>Value (M$/y</w:t>
            </w:r>
            <w:r w:rsidR="007F526F">
              <w:rPr>
                <w:b/>
                <w:bCs/>
                <w:sz w:val="19"/>
                <w:szCs w:val="19"/>
                <w:lang w:val="en-GB"/>
              </w:rPr>
              <w:t>ear</w:t>
            </w:r>
            <w:r w:rsidRPr="00E925B1">
              <w:rPr>
                <w:b/>
                <w:bCs/>
                <w:sz w:val="19"/>
                <w:szCs w:val="19"/>
                <w:lang w:val="en-GB"/>
              </w:rPr>
              <w:t>)</w:t>
            </w:r>
          </w:p>
        </w:tc>
        <w:tc>
          <w:tcPr>
            <w:tcW w:w="1417" w:type="dxa"/>
            <w:tcBorders>
              <w:left w:val="single" w:sz="12" w:space="0" w:color="auto"/>
            </w:tcBorders>
          </w:tcPr>
          <w:p w14:paraId="28E54F14" w14:textId="67203533" w:rsidR="00AD2DC4" w:rsidRPr="00E925B1" w:rsidRDefault="00AD2DC4">
            <w:pPr>
              <w:pStyle w:val="Els-body-text"/>
              <w:rPr>
                <w:b/>
                <w:bCs/>
                <w:sz w:val="19"/>
                <w:szCs w:val="19"/>
                <w:lang w:val="en-GB"/>
              </w:rPr>
            </w:pPr>
            <w:r w:rsidRPr="00E925B1">
              <w:rPr>
                <w:b/>
                <w:bCs/>
                <w:sz w:val="19"/>
                <w:szCs w:val="19"/>
                <w:lang w:val="en-GB"/>
              </w:rPr>
              <w:t>Chemical</w:t>
            </w:r>
          </w:p>
        </w:tc>
        <w:tc>
          <w:tcPr>
            <w:tcW w:w="993" w:type="dxa"/>
          </w:tcPr>
          <w:p w14:paraId="00176EBD" w14:textId="2A4CA1DA" w:rsidR="00AE2E3F" w:rsidRPr="00E925B1" w:rsidRDefault="00AD2DC4">
            <w:pPr>
              <w:pStyle w:val="Els-body-text"/>
              <w:rPr>
                <w:b/>
                <w:bCs/>
                <w:sz w:val="19"/>
                <w:szCs w:val="19"/>
                <w:lang w:val="en-GB"/>
              </w:rPr>
            </w:pPr>
            <w:r w:rsidRPr="00E925B1">
              <w:rPr>
                <w:b/>
                <w:bCs/>
                <w:sz w:val="19"/>
                <w:szCs w:val="19"/>
                <w:lang w:val="en-GB"/>
              </w:rPr>
              <w:t>Price</w:t>
            </w:r>
          </w:p>
        </w:tc>
        <w:tc>
          <w:tcPr>
            <w:tcW w:w="1553" w:type="dxa"/>
          </w:tcPr>
          <w:p w14:paraId="28291C4F" w14:textId="77777777" w:rsidR="007F526F" w:rsidRDefault="00AD2DC4">
            <w:pPr>
              <w:pStyle w:val="Els-body-text"/>
              <w:rPr>
                <w:b/>
                <w:bCs/>
                <w:sz w:val="19"/>
                <w:szCs w:val="19"/>
                <w:lang w:val="en-GB"/>
              </w:rPr>
            </w:pPr>
            <w:r w:rsidRPr="00E925B1">
              <w:rPr>
                <w:b/>
                <w:bCs/>
                <w:sz w:val="19"/>
                <w:szCs w:val="19"/>
                <w:lang w:val="en-GB"/>
              </w:rPr>
              <w:t>Value</w:t>
            </w:r>
          </w:p>
          <w:p w14:paraId="1DFFEC2E" w14:textId="06AEA784" w:rsidR="00AD2DC4" w:rsidRPr="00E925B1" w:rsidRDefault="00AD2DC4">
            <w:pPr>
              <w:pStyle w:val="Els-body-text"/>
              <w:rPr>
                <w:b/>
                <w:bCs/>
                <w:sz w:val="19"/>
                <w:szCs w:val="19"/>
                <w:lang w:val="en-GB"/>
              </w:rPr>
            </w:pPr>
            <w:r w:rsidRPr="00E925B1">
              <w:rPr>
                <w:b/>
                <w:bCs/>
                <w:sz w:val="19"/>
                <w:szCs w:val="19"/>
                <w:lang w:val="en-GB"/>
              </w:rPr>
              <w:t>(M$/y</w:t>
            </w:r>
            <w:r w:rsidR="007F526F">
              <w:rPr>
                <w:b/>
                <w:bCs/>
                <w:sz w:val="19"/>
                <w:szCs w:val="19"/>
                <w:lang w:val="en-GB"/>
              </w:rPr>
              <w:t>ear</w:t>
            </w:r>
            <w:r w:rsidRPr="00E925B1">
              <w:rPr>
                <w:b/>
                <w:bCs/>
                <w:sz w:val="19"/>
                <w:szCs w:val="19"/>
                <w:lang w:val="en-GB"/>
              </w:rPr>
              <w:t>)</w:t>
            </w:r>
          </w:p>
        </w:tc>
      </w:tr>
      <w:tr w:rsidR="00AD2DC4" w:rsidRPr="00E925B1" w14:paraId="00D3A4CC" w14:textId="11D6F285" w:rsidTr="00E03FBF">
        <w:trPr>
          <w:trHeight w:val="20"/>
        </w:trPr>
        <w:tc>
          <w:tcPr>
            <w:tcW w:w="1413" w:type="dxa"/>
            <w:shd w:val="clear" w:color="auto" w:fill="CCECFF"/>
            <w:vAlign w:val="center"/>
          </w:tcPr>
          <w:p w14:paraId="6D7E4E47" w14:textId="75D88277" w:rsidR="00AD2DC4" w:rsidRPr="00E925B1" w:rsidRDefault="00AD2DC4">
            <w:pPr>
              <w:pStyle w:val="Els-body-text"/>
              <w:jc w:val="left"/>
              <w:rPr>
                <w:sz w:val="19"/>
                <w:szCs w:val="19"/>
                <w:lang w:val="en-GB"/>
              </w:rPr>
            </w:pPr>
            <w:r w:rsidRPr="00E925B1">
              <w:rPr>
                <w:sz w:val="19"/>
                <w:szCs w:val="19"/>
              </w:rPr>
              <w:t>Spruce chips</w:t>
            </w:r>
          </w:p>
        </w:tc>
        <w:tc>
          <w:tcPr>
            <w:tcW w:w="709" w:type="dxa"/>
            <w:shd w:val="clear" w:color="auto" w:fill="CCECFF"/>
            <w:vAlign w:val="center"/>
          </w:tcPr>
          <w:p w14:paraId="218DEDB6" w14:textId="62912D8E" w:rsidR="00AD2DC4" w:rsidRPr="00E925B1" w:rsidRDefault="00AD2DC4">
            <w:pPr>
              <w:pStyle w:val="Els-body-text"/>
              <w:jc w:val="left"/>
              <w:rPr>
                <w:sz w:val="19"/>
                <w:szCs w:val="19"/>
                <w:lang w:val="en-GB"/>
              </w:rPr>
            </w:pPr>
            <w:r w:rsidRPr="00E925B1">
              <w:rPr>
                <w:sz w:val="19"/>
                <w:szCs w:val="19"/>
                <w:lang w:val="en-GB"/>
              </w:rPr>
              <w:t>43.23</w:t>
            </w:r>
          </w:p>
        </w:tc>
        <w:tc>
          <w:tcPr>
            <w:tcW w:w="992" w:type="dxa"/>
            <w:tcBorders>
              <w:right w:val="single" w:sz="12" w:space="0" w:color="auto"/>
            </w:tcBorders>
            <w:shd w:val="clear" w:color="auto" w:fill="CCECFF"/>
            <w:vAlign w:val="center"/>
          </w:tcPr>
          <w:p w14:paraId="5CE51297" w14:textId="2E170854" w:rsidR="00AD2DC4" w:rsidRPr="00E925B1" w:rsidRDefault="00AD2DC4">
            <w:pPr>
              <w:pStyle w:val="Els-body-text"/>
              <w:jc w:val="left"/>
              <w:rPr>
                <w:sz w:val="19"/>
                <w:szCs w:val="19"/>
                <w:lang w:val="en-GB"/>
              </w:rPr>
            </w:pPr>
            <w:r w:rsidRPr="00E925B1">
              <w:rPr>
                <w:sz w:val="19"/>
                <w:szCs w:val="19"/>
                <w:lang w:val="en-GB"/>
              </w:rPr>
              <w:t>4.34</w:t>
            </w:r>
          </w:p>
        </w:tc>
        <w:tc>
          <w:tcPr>
            <w:tcW w:w="1417" w:type="dxa"/>
            <w:tcBorders>
              <w:left w:val="single" w:sz="12" w:space="0" w:color="auto"/>
            </w:tcBorders>
            <w:shd w:val="clear" w:color="auto" w:fill="CCECFF"/>
            <w:vAlign w:val="center"/>
          </w:tcPr>
          <w:p w14:paraId="5B0722E4" w14:textId="627CB229" w:rsidR="00EE66EA" w:rsidRPr="00E925B1" w:rsidRDefault="00AD2DC4">
            <w:pPr>
              <w:pStyle w:val="Els-body-text"/>
              <w:jc w:val="left"/>
              <w:rPr>
                <w:color w:val="000000"/>
                <w:sz w:val="19"/>
                <w:szCs w:val="19"/>
              </w:rPr>
            </w:pPr>
            <w:r w:rsidRPr="00E925B1">
              <w:rPr>
                <w:color w:val="000000"/>
                <w:sz w:val="19"/>
                <w:szCs w:val="19"/>
              </w:rPr>
              <w:t>Oxygen (ASU)</w:t>
            </w:r>
          </w:p>
        </w:tc>
        <w:tc>
          <w:tcPr>
            <w:tcW w:w="993" w:type="dxa"/>
            <w:shd w:val="clear" w:color="auto" w:fill="CCECFF"/>
            <w:vAlign w:val="center"/>
          </w:tcPr>
          <w:p w14:paraId="3BD25E38" w14:textId="3BB33B76" w:rsidR="00AD2DC4" w:rsidRPr="00E925B1" w:rsidRDefault="00AD2DC4">
            <w:pPr>
              <w:pStyle w:val="Els-body-text"/>
              <w:jc w:val="left"/>
              <w:rPr>
                <w:sz w:val="19"/>
                <w:szCs w:val="19"/>
                <w:lang w:val="en-GB"/>
              </w:rPr>
            </w:pPr>
            <w:r w:rsidRPr="00E925B1">
              <w:rPr>
                <w:sz w:val="19"/>
                <w:szCs w:val="19"/>
                <w:lang w:val="en-GB"/>
              </w:rPr>
              <w:t>2</w:t>
            </w:r>
            <w:r w:rsidR="000B4D53">
              <w:rPr>
                <w:sz w:val="19"/>
                <w:szCs w:val="19"/>
                <w:lang w:val="en-GB"/>
              </w:rPr>
              <w:t>.</w:t>
            </w:r>
            <w:r w:rsidRPr="00E925B1">
              <w:rPr>
                <w:sz w:val="19"/>
                <w:szCs w:val="19"/>
                <w:lang w:val="en-GB"/>
              </w:rPr>
              <w:t>50 $/</w:t>
            </w:r>
            <w:r w:rsidR="000B4D53">
              <w:rPr>
                <w:sz w:val="19"/>
                <w:szCs w:val="19"/>
                <w:lang w:val="en-GB"/>
              </w:rPr>
              <w:t>kg</w:t>
            </w:r>
          </w:p>
        </w:tc>
        <w:tc>
          <w:tcPr>
            <w:tcW w:w="1553" w:type="dxa"/>
            <w:shd w:val="clear" w:color="auto" w:fill="CCECFF"/>
            <w:vAlign w:val="center"/>
          </w:tcPr>
          <w:p w14:paraId="10755892" w14:textId="193E9B42" w:rsidR="00AD2DC4" w:rsidRPr="00E925B1" w:rsidRDefault="00AD2DC4">
            <w:pPr>
              <w:pStyle w:val="Els-body-text"/>
              <w:jc w:val="left"/>
              <w:rPr>
                <w:sz w:val="19"/>
                <w:szCs w:val="19"/>
                <w:lang w:val="en-GB"/>
              </w:rPr>
            </w:pPr>
            <w:r w:rsidRPr="00E925B1">
              <w:rPr>
                <w:sz w:val="19"/>
                <w:szCs w:val="19"/>
                <w:lang w:val="en-GB"/>
              </w:rPr>
              <w:t xml:space="preserve">  7.02</w:t>
            </w:r>
          </w:p>
        </w:tc>
      </w:tr>
      <w:tr w:rsidR="00AD2DC4" w:rsidRPr="00E925B1" w14:paraId="680F0895" w14:textId="4C4A69ED" w:rsidTr="00E03FBF">
        <w:trPr>
          <w:trHeight w:val="20"/>
        </w:trPr>
        <w:tc>
          <w:tcPr>
            <w:tcW w:w="1413" w:type="dxa"/>
            <w:shd w:val="clear" w:color="auto" w:fill="CCECFF"/>
            <w:vAlign w:val="center"/>
          </w:tcPr>
          <w:p w14:paraId="5265CBB9" w14:textId="0E87BA5A" w:rsidR="00AD2DC4" w:rsidRPr="00E925B1" w:rsidRDefault="00AD2DC4">
            <w:pPr>
              <w:pStyle w:val="Els-body-text"/>
              <w:jc w:val="left"/>
              <w:rPr>
                <w:sz w:val="19"/>
                <w:szCs w:val="19"/>
                <w:lang w:val="en-GB"/>
              </w:rPr>
            </w:pPr>
            <w:r w:rsidRPr="00E925B1">
              <w:rPr>
                <w:sz w:val="19"/>
                <w:szCs w:val="19"/>
              </w:rPr>
              <w:t>2-naphthol</w:t>
            </w:r>
          </w:p>
        </w:tc>
        <w:tc>
          <w:tcPr>
            <w:tcW w:w="709" w:type="dxa"/>
            <w:shd w:val="clear" w:color="auto" w:fill="CCECFF"/>
            <w:vAlign w:val="center"/>
          </w:tcPr>
          <w:p w14:paraId="26455918" w14:textId="3B2C518D" w:rsidR="00AD2DC4" w:rsidRPr="00E925B1" w:rsidRDefault="00AD2DC4">
            <w:pPr>
              <w:pStyle w:val="Els-body-text"/>
              <w:jc w:val="left"/>
              <w:rPr>
                <w:sz w:val="19"/>
                <w:szCs w:val="19"/>
                <w:lang w:val="en-GB"/>
              </w:rPr>
            </w:pPr>
            <w:r w:rsidRPr="00E925B1">
              <w:rPr>
                <w:sz w:val="19"/>
                <w:szCs w:val="19"/>
                <w:lang w:val="en-GB"/>
              </w:rPr>
              <w:t>3500</w:t>
            </w:r>
          </w:p>
        </w:tc>
        <w:tc>
          <w:tcPr>
            <w:tcW w:w="992" w:type="dxa"/>
            <w:tcBorders>
              <w:right w:val="single" w:sz="12" w:space="0" w:color="auto"/>
            </w:tcBorders>
            <w:shd w:val="clear" w:color="auto" w:fill="CCECFF"/>
            <w:vAlign w:val="center"/>
          </w:tcPr>
          <w:p w14:paraId="4D77A757" w14:textId="1DF742D9" w:rsidR="00AD2DC4" w:rsidRPr="00E925B1" w:rsidRDefault="00AD2DC4">
            <w:pPr>
              <w:pStyle w:val="Els-body-text"/>
              <w:jc w:val="left"/>
              <w:rPr>
                <w:sz w:val="19"/>
                <w:szCs w:val="19"/>
                <w:lang w:val="en-GB"/>
              </w:rPr>
            </w:pPr>
            <w:r w:rsidRPr="00E925B1">
              <w:rPr>
                <w:sz w:val="19"/>
                <w:szCs w:val="19"/>
                <w:lang w:val="en-GB"/>
              </w:rPr>
              <w:t>6.25</w:t>
            </w:r>
          </w:p>
        </w:tc>
        <w:tc>
          <w:tcPr>
            <w:tcW w:w="1417" w:type="dxa"/>
            <w:tcBorders>
              <w:left w:val="single" w:sz="12" w:space="0" w:color="auto"/>
            </w:tcBorders>
            <w:shd w:val="clear" w:color="auto" w:fill="CCECFF"/>
            <w:vAlign w:val="center"/>
          </w:tcPr>
          <w:p w14:paraId="025B823C" w14:textId="1242D42B" w:rsidR="00AD2DC4" w:rsidRPr="00E925B1" w:rsidRDefault="00AD2DC4">
            <w:pPr>
              <w:pStyle w:val="Els-body-text"/>
              <w:jc w:val="left"/>
              <w:rPr>
                <w:color w:val="000000"/>
                <w:sz w:val="19"/>
                <w:szCs w:val="19"/>
                <w:lang w:val="en-GB"/>
              </w:rPr>
            </w:pPr>
            <w:r w:rsidRPr="00E925B1">
              <w:rPr>
                <w:color w:val="000000"/>
                <w:sz w:val="19"/>
                <w:szCs w:val="19"/>
                <w:lang w:val="en-GB"/>
              </w:rPr>
              <w:t>Grey H</w:t>
            </w:r>
            <w:r w:rsidRPr="00E925B1">
              <w:rPr>
                <w:color w:val="000000"/>
                <w:sz w:val="19"/>
                <w:szCs w:val="19"/>
                <w:vertAlign w:val="subscript"/>
                <w:lang w:val="en-GB"/>
              </w:rPr>
              <w:t>2</w:t>
            </w:r>
          </w:p>
          <w:p w14:paraId="0B9FF22B" w14:textId="4CD316B8" w:rsidR="00AD2DC4" w:rsidRPr="00E925B1" w:rsidRDefault="00AD2DC4">
            <w:pPr>
              <w:pStyle w:val="Els-body-text"/>
              <w:jc w:val="left"/>
              <w:rPr>
                <w:sz w:val="19"/>
                <w:szCs w:val="19"/>
                <w:lang w:val="en-GB"/>
              </w:rPr>
            </w:pPr>
            <w:r w:rsidRPr="00E925B1">
              <w:rPr>
                <w:sz w:val="19"/>
                <w:szCs w:val="19"/>
                <w:lang w:val="en-GB"/>
              </w:rPr>
              <w:t>Blue H</w:t>
            </w:r>
            <w:r w:rsidRPr="00E925B1">
              <w:rPr>
                <w:sz w:val="19"/>
                <w:szCs w:val="19"/>
                <w:vertAlign w:val="subscript"/>
                <w:lang w:val="en-GB"/>
              </w:rPr>
              <w:t>2</w:t>
            </w:r>
          </w:p>
          <w:p w14:paraId="121A2236" w14:textId="29871F3E" w:rsidR="00AD2DC4" w:rsidRPr="00E925B1" w:rsidRDefault="00AD2DC4">
            <w:pPr>
              <w:pStyle w:val="Els-body-text"/>
              <w:jc w:val="left"/>
              <w:rPr>
                <w:sz w:val="19"/>
                <w:szCs w:val="19"/>
                <w:lang w:val="en-GB"/>
              </w:rPr>
            </w:pPr>
            <w:r w:rsidRPr="00E925B1">
              <w:rPr>
                <w:sz w:val="19"/>
                <w:szCs w:val="19"/>
                <w:lang w:val="en-GB"/>
              </w:rPr>
              <w:t>Green H</w:t>
            </w:r>
            <w:r w:rsidRPr="00E925B1">
              <w:rPr>
                <w:sz w:val="19"/>
                <w:szCs w:val="19"/>
                <w:vertAlign w:val="subscript"/>
                <w:lang w:val="en-GB"/>
              </w:rPr>
              <w:t>2</w:t>
            </w:r>
          </w:p>
        </w:tc>
        <w:tc>
          <w:tcPr>
            <w:tcW w:w="993" w:type="dxa"/>
            <w:shd w:val="clear" w:color="auto" w:fill="CCECFF"/>
            <w:vAlign w:val="center"/>
          </w:tcPr>
          <w:p w14:paraId="0F9F19C6" w14:textId="1C11A230" w:rsidR="00AD2DC4" w:rsidRPr="00E925B1" w:rsidRDefault="00AD2DC4">
            <w:pPr>
              <w:pStyle w:val="Els-body-text"/>
              <w:jc w:val="left"/>
              <w:rPr>
                <w:sz w:val="19"/>
                <w:szCs w:val="19"/>
                <w:lang w:val="en-GB"/>
              </w:rPr>
            </w:pPr>
            <w:r w:rsidRPr="00E925B1">
              <w:rPr>
                <w:sz w:val="19"/>
                <w:szCs w:val="19"/>
                <w:lang w:val="en-GB"/>
              </w:rPr>
              <w:t>1</w:t>
            </w:r>
            <w:r w:rsidR="000B4D53">
              <w:rPr>
                <w:sz w:val="19"/>
                <w:szCs w:val="19"/>
                <w:lang w:val="en-GB"/>
              </w:rPr>
              <w:t>.</w:t>
            </w:r>
            <w:r w:rsidRPr="00E925B1">
              <w:rPr>
                <w:sz w:val="19"/>
                <w:szCs w:val="19"/>
                <w:lang w:val="en-GB"/>
              </w:rPr>
              <w:t>50 $/</w:t>
            </w:r>
            <w:r w:rsidR="000B4D53">
              <w:rPr>
                <w:sz w:val="19"/>
                <w:szCs w:val="19"/>
                <w:lang w:val="en-GB"/>
              </w:rPr>
              <w:t>kg</w:t>
            </w:r>
          </w:p>
          <w:p w14:paraId="65AC72F1" w14:textId="6866CD22" w:rsidR="00AD2DC4" w:rsidRPr="00E925B1" w:rsidRDefault="00AD2DC4">
            <w:pPr>
              <w:pStyle w:val="Els-body-text"/>
              <w:jc w:val="left"/>
              <w:rPr>
                <w:sz w:val="19"/>
                <w:szCs w:val="19"/>
                <w:lang w:val="en-GB"/>
              </w:rPr>
            </w:pPr>
            <w:r w:rsidRPr="00E925B1">
              <w:rPr>
                <w:sz w:val="19"/>
                <w:szCs w:val="19"/>
                <w:lang w:val="en-GB"/>
              </w:rPr>
              <w:t>3</w:t>
            </w:r>
            <w:r w:rsidR="000B4D53">
              <w:rPr>
                <w:sz w:val="19"/>
                <w:szCs w:val="19"/>
                <w:lang w:val="en-GB"/>
              </w:rPr>
              <w:t>.</w:t>
            </w:r>
            <w:r w:rsidRPr="00E925B1">
              <w:rPr>
                <w:sz w:val="19"/>
                <w:szCs w:val="19"/>
                <w:lang w:val="en-GB"/>
              </w:rPr>
              <w:t>50 $/</w:t>
            </w:r>
            <w:r w:rsidR="000B4D53">
              <w:rPr>
                <w:sz w:val="19"/>
                <w:szCs w:val="19"/>
                <w:lang w:val="en-GB"/>
              </w:rPr>
              <w:t>kg</w:t>
            </w:r>
          </w:p>
          <w:p w14:paraId="23C27DFA" w14:textId="4AD87F45" w:rsidR="00AD2DC4" w:rsidRPr="00E925B1" w:rsidRDefault="00AD2DC4">
            <w:pPr>
              <w:pStyle w:val="Els-body-text"/>
              <w:jc w:val="left"/>
              <w:rPr>
                <w:sz w:val="19"/>
                <w:szCs w:val="19"/>
                <w:lang w:val="en-GB"/>
              </w:rPr>
            </w:pPr>
            <w:r w:rsidRPr="00E925B1">
              <w:rPr>
                <w:sz w:val="19"/>
                <w:szCs w:val="19"/>
                <w:lang w:val="en-GB"/>
              </w:rPr>
              <w:t>7</w:t>
            </w:r>
            <w:r w:rsidR="000B4D53">
              <w:rPr>
                <w:sz w:val="19"/>
                <w:szCs w:val="19"/>
                <w:lang w:val="en-GB"/>
              </w:rPr>
              <w:t>.</w:t>
            </w:r>
            <w:r w:rsidRPr="00E925B1">
              <w:rPr>
                <w:sz w:val="19"/>
                <w:szCs w:val="19"/>
                <w:lang w:val="en-GB"/>
              </w:rPr>
              <w:t>25 $/</w:t>
            </w:r>
            <w:r w:rsidR="000B4D53">
              <w:rPr>
                <w:sz w:val="19"/>
                <w:szCs w:val="19"/>
                <w:lang w:val="en-GB"/>
              </w:rPr>
              <w:t>kg</w:t>
            </w:r>
          </w:p>
        </w:tc>
        <w:tc>
          <w:tcPr>
            <w:tcW w:w="1553" w:type="dxa"/>
            <w:shd w:val="clear" w:color="auto" w:fill="CCECFF"/>
            <w:vAlign w:val="center"/>
          </w:tcPr>
          <w:p w14:paraId="7767A9B2" w14:textId="04C566B9" w:rsidR="00AD2DC4" w:rsidRPr="00E925B1" w:rsidRDefault="00AD2DC4">
            <w:pPr>
              <w:pStyle w:val="Els-body-text"/>
              <w:jc w:val="left"/>
              <w:rPr>
                <w:sz w:val="19"/>
                <w:szCs w:val="19"/>
                <w:lang w:val="en-GB"/>
              </w:rPr>
            </w:pPr>
            <w:r w:rsidRPr="00E925B1">
              <w:rPr>
                <w:sz w:val="19"/>
                <w:szCs w:val="19"/>
                <w:lang w:val="en-GB"/>
              </w:rPr>
              <w:t xml:space="preserve">  2.64</w:t>
            </w:r>
          </w:p>
          <w:p w14:paraId="5EE6159C" w14:textId="0BDC17C3" w:rsidR="00AD2DC4" w:rsidRPr="00E925B1" w:rsidRDefault="00AD2DC4">
            <w:pPr>
              <w:pStyle w:val="Els-body-text"/>
              <w:jc w:val="left"/>
              <w:rPr>
                <w:sz w:val="19"/>
                <w:szCs w:val="19"/>
                <w:lang w:val="en-GB"/>
              </w:rPr>
            </w:pPr>
            <w:r w:rsidRPr="00E925B1">
              <w:rPr>
                <w:sz w:val="19"/>
                <w:szCs w:val="19"/>
                <w:lang w:val="en-GB"/>
              </w:rPr>
              <w:t xml:space="preserve">  6.16</w:t>
            </w:r>
          </w:p>
          <w:p w14:paraId="3BD7FCEE" w14:textId="28331F74" w:rsidR="00AD2DC4" w:rsidRPr="00E925B1" w:rsidRDefault="00AD2DC4">
            <w:pPr>
              <w:pStyle w:val="Els-body-text"/>
              <w:jc w:val="left"/>
              <w:rPr>
                <w:sz w:val="19"/>
                <w:szCs w:val="19"/>
                <w:lang w:val="en-GB"/>
              </w:rPr>
            </w:pPr>
            <w:r w:rsidRPr="00E925B1">
              <w:rPr>
                <w:sz w:val="19"/>
                <w:szCs w:val="19"/>
                <w:lang w:val="en-GB"/>
              </w:rPr>
              <w:t>12.76</w:t>
            </w:r>
          </w:p>
        </w:tc>
      </w:tr>
      <w:tr w:rsidR="00AD2DC4" w:rsidRPr="00E925B1" w14:paraId="5C2D0036" w14:textId="28CF58DA" w:rsidTr="00E03FBF">
        <w:trPr>
          <w:trHeight w:val="20"/>
        </w:trPr>
        <w:tc>
          <w:tcPr>
            <w:tcW w:w="1413" w:type="dxa"/>
            <w:shd w:val="clear" w:color="auto" w:fill="CCECFF"/>
            <w:vAlign w:val="center"/>
          </w:tcPr>
          <w:p w14:paraId="23C918F8" w14:textId="54F2C586" w:rsidR="00AD2DC4" w:rsidRPr="00E925B1" w:rsidRDefault="00AD2DC4">
            <w:pPr>
              <w:pStyle w:val="Els-body-text"/>
              <w:jc w:val="left"/>
              <w:rPr>
                <w:sz w:val="19"/>
                <w:szCs w:val="19"/>
                <w:lang w:val="en-GB"/>
              </w:rPr>
            </w:pPr>
            <w:r w:rsidRPr="00E925B1">
              <w:rPr>
                <w:sz w:val="19"/>
                <w:szCs w:val="19"/>
              </w:rPr>
              <w:t>NH</w:t>
            </w:r>
            <w:r w:rsidRPr="00E925B1">
              <w:rPr>
                <w:sz w:val="19"/>
                <w:szCs w:val="19"/>
                <w:vertAlign w:val="subscript"/>
              </w:rPr>
              <w:t>3</w:t>
            </w:r>
          </w:p>
        </w:tc>
        <w:tc>
          <w:tcPr>
            <w:tcW w:w="709" w:type="dxa"/>
            <w:shd w:val="clear" w:color="auto" w:fill="CCECFF"/>
            <w:vAlign w:val="center"/>
          </w:tcPr>
          <w:p w14:paraId="74CF9797" w14:textId="44EE66AA" w:rsidR="00AD2DC4" w:rsidRPr="00E925B1" w:rsidRDefault="00AD2DC4">
            <w:pPr>
              <w:pStyle w:val="Els-body-text"/>
              <w:jc w:val="left"/>
              <w:rPr>
                <w:sz w:val="19"/>
                <w:szCs w:val="19"/>
                <w:lang w:val="en-GB"/>
              </w:rPr>
            </w:pPr>
            <w:r w:rsidRPr="00E925B1">
              <w:rPr>
                <w:sz w:val="19"/>
                <w:szCs w:val="19"/>
                <w:lang w:val="en-GB"/>
              </w:rPr>
              <w:t>410</w:t>
            </w:r>
          </w:p>
        </w:tc>
        <w:tc>
          <w:tcPr>
            <w:tcW w:w="992" w:type="dxa"/>
            <w:tcBorders>
              <w:right w:val="single" w:sz="12" w:space="0" w:color="auto"/>
            </w:tcBorders>
            <w:shd w:val="clear" w:color="auto" w:fill="CCECFF"/>
            <w:vAlign w:val="center"/>
          </w:tcPr>
          <w:p w14:paraId="5AF77038" w14:textId="65874911" w:rsidR="00AD2DC4" w:rsidRPr="00E925B1" w:rsidRDefault="00AD2DC4">
            <w:pPr>
              <w:pStyle w:val="Els-body-text"/>
              <w:jc w:val="left"/>
              <w:rPr>
                <w:sz w:val="19"/>
                <w:szCs w:val="19"/>
                <w:lang w:val="en-GB"/>
              </w:rPr>
            </w:pPr>
            <w:r w:rsidRPr="00E925B1">
              <w:rPr>
                <w:sz w:val="19"/>
                <w:szCs w:val="19"/>
                <w:lang w:val="en-GB"/>
              </w:rPr>
              <w:t>1.48</w:t>
            </w:r>
          </w:p>
        </w:tc>
        <w:tc>
          <w:tcPr>
            <w:tcW w:w="1417" w:type="dxa"/>
            <w:tcBorders>
              <w:left w:val="single" w:sz="12" w:space="0" w:color="auto"/>
            </w:tcBorders>
            <w:shd w:val="clear" w:color="auto" w:fill="E5B8B7" w:themeFill="accent2" w:themeFillTint="66"/>
            <w:vAlign w:val="center"/>
          </w:tcPr>
          <w:p w14:paraId="437A8CCC" w14:textId="6C4B7838" w:rsidR="00AD2DC4" w:rsidRPr="00E925B1" w:rsidRDefault="00AD2DC4">
            <w:pPr>
              <w:pStyle w:val="Els-body-text"/>
              <w:jc w:val="left"/>
              <w:rPr>
                <w:sz w:val="19"/>
                <w:szCs w:val="19"/>
                <w:lang w:val="en-GB"/>
              </w:rPr>
            </w:pPr>
            <w:r w:rsidRPr="00E925B1">
              <w:rPr>
                <w:sz w:val="19"/>
                <w:szCs w:val="19"/>
                <w:lang w:val="en-GB"/>
              </w:rPr>
              <w:t>Natural gas</w:t>
            </w:r>
            <w:r w:rsidR="00BB7180">
              <w:rPr>
                <w:sz w:val="19"/>
                <w:szCs w:val="19"/>
                <w:lang w:val="en-GB"/>
              </w:rPr>
              <w:t xml:space="preserve"> </w:t>
            </w:r>
            <w:r w:rsidRPr="00E925B1">
              <w:rPr>
                <w:sz w:val="19"/>
                <w:szCs w:val="19"/>
                <w:lang w:val="en-GB"/>
              </w:rPr>
              <w:t>for steam generation</w:t>
            </w:r>
          </w:p>
        </w:tc>
        <w:tc>
          <w:tcPr>
            <w:tcW w:w="993" w:type="dxa"/>
            <w:shd w:val="clear" w:color="auto" w:fill="E5B8B7" w:themeFill="accent2" w:themeFillTint="66"/>
            <w:vAlign w:val="center"/>
          </w:tcPr>
          <w:p w14:paraId="4F7849BF" w14:textId="3849545D" w:rsidR="00AD2DC4" w:rsidRPr="00E925B1" w:rsidRDefault="00AD2DC4">
            <w:pPr>
              <w:pStyle w:val="Els-body-text"/>
              <w:jc w:val="left"/>
              <w:rPr>
                <w:sz w:val="19"/>
                <w:szCs w:val="19"/>
                <w:lang w:val="en-GB"/>
              </w:rPr>
            </w:pPr>
            <w:r w:rsidRPr="00E925B1">
              <w:rPr>
                <w:sz w:val="19"/>
                <w:szCs w:val="19"/>
                <w:lang w:val="en-GB"/>
              </w:rPr>
              <w:t>20 $/MWh</w:t>
            </w:r>
          </w:p>
        </w:tc>
        <w:tc>
          <w:tcPr>
            <w:tcW w:w="1553" w:type="dxa"/>
            <w:shd w:val="clear" w:color="auto" w:fill="E5B8B7" w:themeFill="accent2" w:themeFillTint="66"/>
            <w:vAlign w:val="center"/>
          </w:tcPr>
          <w:p w14:paraId="54B203D8" w14:textId="7CDCDA2F" w:rsidR="00AD2DC4" w:rsidRPr="00E925B1" w:rsidRDefault="00AD2DC4">
            <w:pPr>
              <w:pStyle w:val="Els-body-text"/>
              <w:jc w:val="left"/>
              <w:rPr>
                <w:sz w:val="19"/>
                <w:szCs w:val="19"/>
                <w:lang w:val="en-GB"/>
              </w:rPr>
            </w:pPr>
            <w:r w:rsidRPr="00E925B1">
              <w:rPr>
                <w:sz w:val="19"/>
                <w:szCs w:val="19"/>
                <w:lang w:val="en-GB"/>
              </w:rPr>
              <w:t xml:space="preserve">  0.99 (</w:t>
            </w:r>
            <w:proofErr w:type="gramStart"/>
            <w:r w:rsidRPr="00E925B1">
              <w:rPr>
                <w:sz w:val="19"/>
                <w:szCs w:val="19"/>
                <w:lang w:val="en-GB"/>
              </w:rPr>
              <w:t>oxy-comb</w:t>
            </w:r>
            <w:proofErr w:type="gramEnd"/>
            <w:r w:rsidR="00325E5A">
              <w:rPr>
                <w:sz w:val="19"/>
                <w:szCs w:val="19"/>
                <w:lang w:val="en-GB"/>
              </w:rPr>
              <w:t>.</w:t>
            </w:r>
            <w:r w:rsidRPr="00E925B1">
              <w:rPr>
                <w:sz w:val="19"/>
                <w:szCs w:val="19"/>
                <w:lang w:val="en-GB"/>
              </w:rPr>
              <w:t>)</w:t>
            </w:r>
          </w:p>
          <w:p w14:paraId="4C4A5F0B" w14:textId="64F3ED20" w:rsidR="00AD2DC4" w:rsidRPr="00E925B1" w:rsidRDefault="00AD2DC4">
            <w:pPr>
              <w:pStyle w:val="Els-body-text"/>
              <w:jc w:val="left"/>
              <w:rPr>
                <w:sz w:val="19"/>
                <w:szCs w:val="19"/>
                <w:lang w:val="en-GB"/>
              </w:rPr>
            </w:pPr>
            <w:r w:rsidRPr="00E925B1">
              <w:rPr>
                <w:sz w:val="19"/>
                <w:szCs w:val="19"/>
                <w:lang w:val="en-GB"/>
              </w:rPr>
              <w:t xml:space="preserve">  1.09 (air comb</w:t>
            </w:r>
            <w:r w:rsidR="00325E5A">
              <w:rPr>
                <w:sz w:val="19"/>
                <w:szCs w:val="19"/>
                <w:lang w:val="en-GB"/>
              </w:rPr>
              <w:t>.</w:t>
            </w:r>
            <w:r w:rsidRPr="00E925B1">
              <w:rPr>
                <w:sz w:val="19"/>
                <w:szCs w:val="19"/>
                <w:lang w:val="en-GB"/>
              </w:rPr>
              <w:t>)</w:t>
            </w:r>
          </w:p>
        </w:tc>
      </w:tr>
      <w:tr w:rsidR="00AD2DC4" w:rsidRPr="00E925B1" w14:paraId="3B5FAE86" w14:textId="394B1F44" w:rsidTr="00E03FBF">
        <w:trPr>
          <w:trHeight w:val="20"/>
        </w:trPr>
        <w:tc>
          <w:tcPr>
            <w:tcW w:w="1413" w:type="dxa"/>
            <w:shd w:val="clear" w:color="auto" w:fill="CCECFF"/>
            <w:vAlign w:val="center"/>
          </w:tcPr>
          <w:p w14:paraId="456E01F1" w14:textId="324FD7FE" w:rsidR="00AD2DC4" w:rsidRPr="00E925B1" w:rsidRDefault="00AD2DC4">
            <w:pPr>
              <w:pStyle w:val="Els-body-text"/>
              <w:jc w:val="left"/>
              <w:rPr>
                <w:sz w:val="19"/>
                <w:szCs w:val="19"/>
                <w:lang w:val="en-GB"/>
              </w:rPr>
            </w:pPr>
            <w:r w:rsidRPr="00E925B1">
              <w:rPr>
                <w:sz w:val="19"/>
                <w:szCs w:val="19"/>
              </w:rPr>
              <w:t>SO</w:t>
            </w:r>
            <w:r w:rsidRPr="00E925B1">
              <w:rPr>
                <w:sz w:val="19"/>
                <w:szCs w:val="19"/>
                <w:vertAlign w:val="subscript"/>
              </w:rPr>
              <w:t>2</w:t>
            </w:r>
          </w:p>
        </w:tc>
        <w:tc>
          <w:tcPr>
            <w:tcW w:w="709" w:type="dxa"/>
            <w:shd w:val="clear" w:color="auto" w:fill="CCECFF"/>
            <w:vAlign w:val="center"/>
          </w:tcPr>
          <w:p w14:paraId="284D4ABA" w14:textId="62C048DB" w:rsidR="00AD2DC4" w:rsidRPr="00E925B1" w:rsidRDefault="00AD2DC4">
            <w:pPr>
              <w:pStyle w:val="Els-body-text"/>
              <w:jc w:val="left"/>
              <w:rPr>
                <w:sz w:val="19"/>
                <w:szCs w:val="19"/>
                <w:lang w:val="en-GB"/>
              </w:rPr>
            </w:pPr>
            <w:r w:rsidRPr="00E925B1">
              <w:rPr>
                <w:sz w:val="19"/>
                <w:szCs w:val="19"/>
                <w:lang w:val="en-GB"/>
              </w:rPr>
              <w:t>276</w:t>
            </w:r>
          </w:p>
        </w:tc>
        <w:tc>
          <w:tcPr>
            <w:tcW w:w="992" w:type="dxa"/>
            <w:tcBorders>
              <w:right w:val="single" w:sz="12" w:space="0" w:color="auto"/>
            </w:tcBorders>
            <w:shd w:val="clear" w:color="auto" w:fill="CCECFF"/>
            <w:vAlign w:val="center"/>
          </w:tcPr>
          <w:p w14:paraId="383882AF" w14:textId="7D6E6596" w:rsidR="00AD2DC4" w:rsidRPr="00E925B1" w:rsidRDefault="00AD2DC4">
            <w:pPr>
              <w:pStyle w:val="Els-body-text"/>
              <w:jc w:val="left"/>
              <w:rPr>
                <w:sz w:val="19"/>
                <w:szCs w:val="19"/>
                <w:lang w:val="en-GB"/>
              </w:rPr>
            </w:pPr>
            <w:r w:rsidRPr="00E925B1">
              <w:rPr>
                <w:sz w:val="19"/>
                <w:szCs w:val="19"/>
                <w:lang w:val="en-GB"/>
              </w:rPr>
              <w:t>1.46</w:t>
            </w:r>
          </w:p>
        </w:tc>
        <w:tc>
          <w:tcPr>
            <w:tcW w:w="1417" w:type="dxa"/>
            <w:tcBorders>
              <w:left w:val="single" w:sz="12" w:space="0" w:color="auto"/>
            </w:tcBorders>
            <w:shd w:val="clear" w:color="auto" w:fill="E5B8B7" w:themeFill="accent2" w:themeFillTint="66"/>
            <w:vAlign w:val="center"/>
          </w:tcPr>
          <w:p w14:paraId="6AFA477E" w14:textId="129BBB08" w:rsidR="00AD2DC4" w:rsidRPr="00E925B1" w:rsidRDefault="00AD2DC4">
            <w:pPr>
              <w:pStyle w:val="Els-body-text"/>
              <w:jc w:val="left"/>
              <w:rPr>
                <w:sz w:val="19"/>
                <w:szCs w:val="19"/>
                <w:lang w:val="en-GB"/>
              </w:rPr>
            </w:pPr>
            <w:r w:rsidRPr="00E925B1">
              <w:rPr>
                <w:sz w:val="19"/>
                <w:szCs w:val="19"/>
                <w:lang w:val="en-GB"/>
              </w:rPr>
              <w:t>Electricity</w:t>
            </w:r>
          </w:p>
        </w:tc>
        <w:tc>
          <w:tcPr>
            <w:tcW w:w="993" w:type="dxa"/>
            <w:shd w:val="clear" w:color="auto" w:fill="E5B8B7" w:themeFill="accent2" w:themeFillTint="66"/>
            <w:vAlign w:val="center"/>
          </w:tcPr>
          <w:p w14:paraId="1E959766" w14:textId="1B69EDB7" w:rsidR="00AD2DC4" w:rsidRPr="00E925B1" w:rsidRDefault="00AD2DC4">
            <w:pPr>
              <w:pStyle w:val="Els-body-text"/>
              <w:jc w:val="left"/>
              <w:rPr>
                <w:sz w:val="19"/>
                <w:szCs w:val="19"/>
                <w:lang w:val="en-GB"/>
              </w:rPr>
            </w:pPr>
            <w:r w:rsidRPr="00E925B1">
              <w:rPr>
                <w:sz w:val="19"/>
                <w:szCs w:val="19"/>
                <w:lang w:val="en-GB"/>
              </w:rPr>
              <w:t>80 $/MWh</w:t>
            </w:r>
          </w:p>
        </w:tc>
        <w:tc>
          <w:tcPr>
            <w:tcW w:w="1553" w:type="dxa"/>
            <w:shd w:val="clear" w:color="auto" w:fill="E5B8B7" w:themeFill="accent2" w:themeFillTint="66"/>
            <w:vAlign w:val="center"/>
          </w:tcPr>
          <w:p w14:paraId="6BDDE9D0" w14:textId="79FEA69F" w:rsidR="00AD2DC4" w:rsidRPr="00E925B1" w:rsidRDefault="00AD2DC4">
            <w:pPr>
              <w:pStyle w:val="Els-body-text"/>
              <w:jc w:val="left"/>
              <w:rPr>
                <w:sz w:val="19"/>
                <w:szCs w:val="19"/>
                <w:lang w:val="en-GB"/>
              </w:rPr>
            </w:pPr>
            <w:r w:rsidRPr="00E925B1">
              <w:rPr>
                <w:sz w:val="19"/>
                <w:szCs w:val="19"/>
                <w:lang w:val="en-GB"/>
              </w:rPr>
              <w:t xml:space="preserve">  0.77</w:t>
            </w:r>
          </w:p>
        </w:tc>
      </w:tr>
      <w:tr w:rsidR="00AD2DC4" w:rsidRPr="00E925B1" w14:paraId="0AB2E824" w14:textId="304047BD" w:rsidTr="00E03FBF">
        <w:trPr>
          <w:trHeight w:val="20"/>
        </w:trPr>
        <w:tc>
          <w:tcPr>
            <w:tcW w:w="1413" w:type="dxa"/>
            <w:shd w:val="clear" w:color="auto" w:fill="CCECFF"/>
            <w:vAlign w:val="center"/>
          </w:tcPr>
          <w:p w14:paraId="60B71C20" w14:textId="18637159" w:rsidR="00AD2DC4" w:rsidRPr="00E925B1" w:rsidRDefault="00AD2DC4">
            <w:pPr>
              <w:pStyle w:val="Els-body-text"/>
              <w:jc w:val="left"/>
              <w:rPr>
                <w:sz w:val="19"/>
                <w:szCs w:val="19"/>
                <w:lang w:val="en-GB"/>
              </w:rPr>
            </w:pPr>
            <w:r w:rsidRPr="00E925B1">
              <w:rPr>
                <w:sz w:val="19"/>
                <w:szCs w:val="19"/>
              </w:rPr>
              <w:t>Sodium acetate</w:t>
            </w:r>
          </w:p>
        </w:tc>
        <w:tc>
          <w:tcPr>
            <w:tcW w:w="709" w:type="dxa"/>
            <w:shd w:val="clear" w:color="auto" w:fill="CCECFF"/>
            <w:vAlign w:val="center"/>
          </w:tcPr>
          <w:p w14:paraId="6BBEE278" w14:textId="30D6B09B" w:rsidR="00AD2DC4" w:rsidRPr="00E925B1" w:rsidRDefault="00AD2DC4">
            <w:pPr>
              <w:pStyle w:val="Els-body-text"/>
              <w:jc w:val="left"/>
              <w:rPr>
                <w:sz w:val="19"/>
                <w:szCs w:val="19"/>
                <w:lang w:val="en-GB"/>
              </w:rPr>
            </w:pPr>
            <w:r w:rsidRPr="00E925B1">
              <w:rPr>
                <w:sz w:val="19"/>
                <w:szCs w:val="19"/>
                <w:lang w:val="en-GB"/>
              </w:rPr>
              <w:t>20</w:t>
            </w:r>
          </w:p>
        </w:tc>
        <w:tc>
          <w:tcPr>
            <w:tcW w:w="992" w:type="dxa"/>
            <w:tcBorders>
              <w:right w:val="single" w:sz="12" w:space="0" w:color="auto"/>
            </w:tcBorders>
            <w:shd w:val="clear" w:color="auto" w:fill="CCECFF"/>
            <w:vAlign w:val="center"/>
          </w:tcPr>
          <w:p w14:paraId="1503168C" w14:textId="7772BC55" w:rsidR="00AD2DC4" w:rsidRPr="00E925B1" w:rsidRDefault="00AD2DC4">
            <w:pPr>
              <w:pStyle w:val="Els-body-text"/>
              <w:jc w:val="left"/>
              <w:rPr>
                <w:sz w:val="19"/>
                <w:szCs w:val="19"/>
                <w:lang w:val="en-GB"/>
              </w:rPr>
            </w:pPr>
            <w:r w:rsidRPr="00E925B1">
              <w:rPr>
                <w:sz w:val="19"/>
                <w:szCs w:val="19"/>
                <w:lang w:val="en-GB"/>
              </w:rPr>
              <w:t>0.99</w:t>
            </w:r>
          </w:p>
        </w:tc>
        <w:tc>
          <w:tcPr>
            <w:tcW w:w="1417" w:type="dxa"/>
            <w:tcBorders>
              <w:left w:val="single" w:sz="12" w:space="0" w:color="auto"/>
            </w:tcBorders>
            <w:shd w:val="clear" w:color="auto" w:fill="E5B8B7" w:themeFill="accent2" w:themeFillTint="66"/>
            <w:vAlign w:val="center"/>
          </w:tcPr>
          <w:p w14:paraId="3284C390" w14:textId="0511B68F" w:rsidR="00AD2DC4" w:rsidRPr="00E925B1" w:rsidRDefault="00AD2DC4">
            <w:pPr>
              <w:pStyle w:val="Els-body-text"/>
              <w:jc w:val="left"/>
              <w:rPr>
                <w:sz w:val="19"/>
                <w:szCs w:val="19"/>
                <w:lang w:val="en-GB"/>
              </w:rPr>
            </w:pPr>
            <w:r w:rsidRPr="00E925B1">
              <w:rPr>
                <w:sz w:val="19"/>
                <w:szCs w:val="19"/>
                <w:lang w:val="en-GB"/>
              </w:rPr>
              <w:t>Cooling water</w:t>
            </w:r>
          </w:p>
        </w:tc>
        <w:tc>
          <w:tcPr>
            <w:tcW w:w="993" w:type="dxa"/>
            <w:shd w:val="clear" w:color="auto" w:fill="E5B8B7" w:themeFill="accent2" w:themeFillTint="66"/>
            <w:vAlign w:val="center"/>
          </w:tcPr>
          <w:p w14:paraId="2A4F48D3" w14:textId="1E4863F0" w:rsidR="00AD2DC4" w:rsidRPr="00E925B1" w:rsidRDefault="00AD2DC4">
            <w:pPr>
              <w:pStyle w:val="Els-body-text"/>
              <w:jc w:val="left"/>
              <w:rPr>
                <w:sz w:val="19"/>
                <w:szCs w:val="19"/>
                <w:lang w:val="en-GB"/>
              </w:rPr>
            </w:pPr>
            <w:r w:rsidRPr="00E925B1">
              <w:rPr>
                <w:sz w:val="19"/>
                <w:szCs w:val="19"/>
                <w:lang w:val="en-GB"/>
              </w:rPr>
              <w:t>0.02 $/m</w:t>
            </w:r>
            <w:r w:rsidRPr="00E925B1">
              <w:rPr>
                <w:sz w:val="19"/>
                <w:szCs w:val="19"/>
                <w:vertAlign w:val="superscript"/>
                <w:lang w:val="en-GB"/>
              </w:rPr>
              <w:t>3</w:t>
            </w:r>
          </w:p>
        </w:tc>
        <w:tc>
          <w:tcPr>
            <w:tcW w:w="1553" w:type="dxa"/>
            <w:shd w:val="clear" w:color="auto" w:fill="E5B8B7" w:themeFill="accent2" w:themeFillTint="66"/>
            <w:vAlign w:val="center"/>
          </w:tcPr>
          <w:p w14:paraId="3EA99481" w14:textId="4DD99BF1" w:rsidR="00AD2DC4" w:rsidRPr="00E925B1" w:rsidRDefault="00AD2DC4">
            <w:pPr>
              <w:pStyle w:val="Els-body-text"/>
              <w:jc w:val="left"/>
              <w:rPr>
                <w:sz w:val="19"/>
                <w:szCs w:val="19"/>
                <w:lang w:val="en-GB"/>
              </w:rPr>
            </w:pPr>
            <w:r w:rsidRPr="00E925B1">
              <w:rPr>
                <w:sz w:val="19"/>
                <w:szCs w:val="19"/>
                <w:lang w:val="en-GB"/>
              </w:rPr>
              <w:t xml:space="preserve">  0.08</w:t>
            </w:r>
          </w:p>
        </w:tc>
      </w:tr>
      <w:tr w:rsidR="00AD2DC4" w:rsidRPr="00E925B1" w14:paraId="4D53DC63" w14:textId="568E8BE6" w:rsidTr="00E03FBF">
        <w:trPr>
          <w:trHeight w:val="20"/>
        </w:trPr>
        <w:tc>
          <w:tcPr>
            <w:tcW w:w="1413" w:type="dxa"/>
            <w:shd w:val="clear" w:color="auto" w:fill="CCECFF"/>
            <w:vAlign w:val="center"/>
          </w:tcPr>
          <w:p w14:paraId="0C80674D" w14:textId="0DCEFFC6" w:rsidR="00AD2DC4" w:rsidRPr="00E925B1" w:rsidRDefault="00DE7590">
            <w:pPr>
              <w:pStyle w:val="Els-body-text"/>
              <w:jc w:val="left"/>
              <w:rPr>
                <w:sz w:val="19"/>
                <w:szCs w:val="19"/>
                <w:lang w:val="en-GB"/>
              </w:rPr>
            </w:pPr>
            <w:r>
              <w:rPr>
                <w:color w:val="000000"/>
                <w:sz w:val="19"/>
                <w:szCs w:val="19"/>
              </w:rPr>
              <w:t>Fermen</w:t>
            </w:r>
            <w:r w:rsidR="005E3859">
              <w:rPr>
                <w:color w:val="000000"/>
                <w:sz w:val="19"/>
                <w:szCs w:val="19"/>
              </w:rPr>
              <w:t xml:space="preserve"> strain</w:t>
            </w:r>
          </w:p>
        </w:tc>
        <w:tc>
          <w:tcPr>
            <w:tcW w:w="709" w:type="dxa"/>
            <w:shd w:val="clear" w:color="auto" w:fill="CCECFF"/>
            <w:vAlign w:val="center"/>
          </w:tcPr>
          <w:p w14:paraId="3507AD9F" w14:textId="36EF26FB" w:rsidR="00AD2DC4" w:rsidRPr="00E925B1" w:rsidRDefault="00AD2DC4">
            <w:pPr>
              <w:pStyle w:val="Els-body-text"/>
              <w:jc w:val="left"/>
              <w:rPr>
                <w:sz w:val="19"/>
                <w:szCs w:val="19"/>
                <w:lang w:val="en-GB"/>
              </w:rPr>
            </w:pPr>
            <w:r w:rsidRPr="00E925B1">
              <w:rPr>
                <w:sz w:val="19"/>
                <w:szCs w:val="19"/>
                <w:lang w:val="en-GB"/>
              </w:rPr>
              <w:t>100</w:t>
            </w:r>
          </w:p>
        </w:tc>
        <w:tc>
          <w:tcPr>
            <w:tcW w:w="992" w:type="dxa"/>
            <w:tcBorders>
              <w:right w:val="single" w:sz="12" w:space="0" w:color="auto"/>
            </w:tcBorders>
            <w:shd w:val="clear" w:color="auto" w:fill="CCECFF"/>
            <w:vAlign w:val="center"/>
          </w:tcPr>
          <w:p w14:paraId="029C6C88" w14:textId="04B78AAB" w:rsidR="00AD2DC4" w:rsidRPr="00E925B1" w:rsidRDefault="00AD2DC4">
            <w:pPr>
              <w:pStyle w:val="Els-body-text"/>
              <w:jc w:val="left"/>
              <w:rPr>
                <w:sz w:val="19"/>
                <w:szCs w:val="19"/>
                <w:lang w:val="en-GB"/>
              </w:rPr>
            </w:pPr>
            <w:r w:rsidRPr="00E925B1">
              <w:rPr>
                <w:sz w:val="19"/>
                <w:szCs w:val="19"/>
                <w:lang w:val="en-GB"/>
              </w:rPr>
              <w:t>0.45</w:t>
            </w:r>
          </w:p>
        </w:tc>
        <w:tc>
          <w:tcPr>
            <w:tcW w:w="1417" w:type="dxa"/>
            <w:tcBorders>
              <w:left w:val="single" w:sz="12" w:space="0" w:color="auto"/>
            </w:tcBorders>
            <w:shd w:val="clear" w:color="auto" w:fill="D9D9D9" w:themeFill="background1" w:themeFillShade="D9"/>
            <w:vAlign w:val="center"/>
          </w:tcPr>
          <w:p w14:paraId="45FC409F" w14:textId="5073E1E1" w:rsidR="00AD2DC4" w:rsidRPr="00E925B1" w:rsidRDefault="00AD2DC4">
            <w:pPr>
              <w:pStyle w:val="Els-body-text"/>
              <w:jc w:val="left"/>
              <w:rPr>
                <w:sz w:val="19"/>
                <w:szCs w:val="19"/>
                <w:lang w:val="en-GB"/>
              </w:rPr>
            </w:pPr>
            <w:r w:rsidRPr="00E925B1">
              <w:rPr>
                <w:sz w:val="19"/>
                <w:szCs w:val="19"/>
                <w:lang w:val="en-GB"/>
              </w:rPr>
              <w:t>Bioethanol</w:t>
            </w:r>
          </w:p>
        </w:tc>
        <w:tc>
          <w:tcPr>
            <w:tcW w:w="993" w:type="dxa"/>
            <w:shd w:val="clear" w:color="auto" w:fill="D9D9D9" w:themeFill="background1" w:themeFillShade="D9"/>
            <w:vAlign w:val="center"/>
          </w:tcPr>
          <w:p w14:paraId="7947FBD6" w14:textId="65FCFAB4" w:rsidR="00AD2DC4" w:rsidRPr="00E925B1" w:rsidRDefault="00AD2DC4">
            <w:pPr>
              <w:pStyle w:val="Els-body-text"/>
              <w:jc w:val="left"/>
              <w:rPr>
                <w:sz w:val="19"/>
                <w:szCs w:val="19"/>
                <w:lang w:val="en-GB"/>
              </w:rPr>
            </w:pPr>
            <w:r w:rsidRPr="00E925B1">
              <w:rPr>
                <w:sz w:val="19"/>
                <w:szCs w:val="19"/>
                <w:lang w:val="en-GB"/>
              </w:rPr>
              <w:t>0.8</w:t>
            </w:r>
            <w:r w:rsidR="000B4D53">
              <w:rPr>
                <w:sz w:val="19"/>
                <w:szCs w:val="19"/>
                <w:lang w:val="en-GB"/>
              </w:rPr>
              <w:t>0</w:t>
            </w:r>
            <w:r w:rsidRPr="00E925B1">
              <w:rPr>
                <w:sz w:val="19"/>
                <w:szCs w:val="19"/>
                <w:lang w:val="en-GB"/>
              </w:rPr>
              <w:t xml:space="preserve"> $/litre</w:t>
            </w:r>
          </w:p>
        </w:tc>
        <w:tc>
          <w:tcPr>
            <w:tcW w:w="1553" w:type="dxa"/>
            <w:shd w:val="clear" w:color="auto" w:fill="D9D9D9" w:themeFill="background1" w:themeFillShade="D9"/>
            <w:vAlign w:val="center"/>
          </w:tcPr>
          <w:p w14:paraId="59953D0C" w14:textId="106A3C0D" w:rsidR="00AD2DC4" w:rsidRPr="00E925B1" w:rsidRDefault="00AD2DC4">
            <w:pPr>
              <w:pStyle w:val="Els-body-text"/>
              <w:jc w:val="left"/>
              <w:rPr>
                <w:sz w:val="19"/>
                <w:szCs w:val="19"/>
                <w:lang w:val="en-GB"/>
              </w:rPr>
            </w:pPr>
            <w:r w:rsidRPr="00E925B1">
              <w:rPr>
                <w:sz w:val="19"/>
                <w:szCs w:val="19"/>
                <w:lang w:val="en-GB"/>
              </w:rPr>
              <w:t>17.1</w:t>
            </w:r>
          </w:p>
        </w:tc>
      </w:tr>
      <w:tr w:rsidR="00AD2DC4" w:rsidRPr="00E925B1" w14:paraId="6E07CC0E" w14:textId="5C12D47D" w:rsidTr="00E03FBF">
        <w:trPr>
          <w:trHeight w:val="20"/>
        </w:trPr>
        <w:tc>
          <w:tcPr>
            <w:tcW w:w="1413" w:type="dxa"/>
            <w:shd w:val="clear" w:color="auto" w:fill="CCECFF"/>
            <w:vAlign w:val="center"/>
          </w:tcPr>
          <w:p w14:paraId="253A9271" w14:textId="6960BE69" w:rsidR="00AD2DC4" w:rsidRPr="00E925B1" w:rsidRDefault="00AD2DC4">
            <w:pPr>
              <w:pStyle w:val="Els-body-text"/>
              <w:jc w:val="left"/>
              <w:rPr>
                <w:sz w:val="19"/>
                <w:szCs w:val="19"/>
                <w:lang w:val="en-GB"/>
              </w:rPr>
            </w:pPr>
            <w:r w:rsidRPr="00E925B1">
              <w:rPr>
                <w:color w:val="000000"/>
                <w:sz w:val="19"/>
                <w:szCs w:val="19"/>
              </w:rPr>
              <w:t>DAP</w:t>
            </w:r>
          </w:p>
        </w:tc>
        <w:tc>
          <w:tcPr>
            <w:tcW w:w="709" w:type="dxa"/>
            <w:shd w:val="clear" w:color="auto" w:fill="CCECFF"/>
            <w:vAlign w:val="center"/>
          </w:tcPr>
          <w:p w14:paraId="5310AFAC" w14:textId="23F29EE7" w:rsidR="00AD2DC4" w:rsidRPr="00E925B1" w:rsidRDefault="00AD2DC4">
            <w:pPr>
              <w:pStyle w:val="Els-body-text"/>
              <w:jc w:val="left"/>
              <w:rPr>
                <w:sz w:val="19"/>
                <w:szCs w:val="19"/>
                <w:lang w:val="en-GB"/>
              </w:rPr>
            </w:pPr>
            <w:r w:rsidRPr="00E925B1">
              <w:rPr>
                <w:sz w:val="19"/>
                <w:szCs w:val="19"/>
                <w:lang w:val="en-GB"/>
              </w:rPr>
              <w:t>895</w:t>
            </w:r>
          </w:p>
        </w:tc>
        <w:tc>
          <w:tcPr>
            <w:tcW w:w="992" w:type="dxa"/>
            <w:tcBorders>
              <w:right w:val="single" w:sz="12" w:space="0" w:color="auto"/>
            </w:tcBorders>
            <w:shd w:val="clear" w:color="auto" w:fill="CCECFF"/>
            <w:vAlign w:val="center"/>
          </w:tcPr>
          <w:p w14:paraId="42304349" w14:textId="3DD21435" w:rsidR="00AD2DC4" w:rsidRPr="00E925B1" w:rsidRDefault="00AD2DC4">
            <w:pPr>
              <w:pStyle w:val="Els-body-text"/>
              <w:jc w:val="left"/>
              <w:rPr>
                <w:sz w:val="19"/>
                <w:szCs w:val="19"/>
                <w:lang w:val="en-GB"/>
              </w:rPr>
            </w:pPr>
            <w:r w:rsidRPr="00E925B1">
              <w:rPr>
                <w:sz w:val="19"/>
                <w:szCs w:val="19"/>
                <w:lang w:val="en-GB"/>
              </w:rPr>
              <w:t>1.44</w:t>
            </w:r>
          </w:p>
        </w:tc>
        <w:tc>
          <w:tcPr>
            <w:tcW w:w="1417" w:type="dxa"/>
            <w:tcBorders>
              <w:left w:val="single" w:sz="12" w:space="0" w:color="auto"/>
            </w:tcBorders>
            <w:shd w:val="clear" w:color="auto" w:fill="D9D9D9" w:themeFill="background1" w:themeFillShade="D9"/>
            <w:vAlign w:val="center"/>
          </w:tcPr>
          <w:p w14:paraId="50920D47" w14:textId="132E8328" w:rsidR="00AD2DC4" w:rsidRPr="00E925B1" w:rsidRDefault="00AD2DC4">
            <w:pPr>
              <w:pStyle w:val="Els-body-text"/>
              <w:jc w:val="left"/>
              <w:rPr>
                <w:sz w:val="19"/>
                <w:szCs w:val="19"/>
                <w:lang w:val="en-GB"/>
              </w:rPr>
            </w:pPr>
            <w:r w:rsidRPr="00E925B1">
              <w:rPr>
                <w:sz w:val="19"/>
                <w:szCs w:val="19"/>
                <w:lang w:val="en-GB"/>
              </w:rPr>
              <w:t>Gasoline</w:t>
            </w:r>
          </w:p>
        </w:tc>
        <w:tc>
          <w:tcPr>
            <w:tcW w:w="993" w:type="dxa"/>
            <w:shd w:val="clear" w:color="auto" w:fill="D9D9D9" w:themeFill="background1" w:themeFillShade="D9"/>
            <w:vAlign w:val="center"/>
          </w:tcPr>
          <w:p w14:paraId="0E143AC2" w14:textId="352AA741" w:rsidR="00AD2DC4" w:rsidRPr="00E925B1" w:rsidRDefault="00AD2DC4">
            <w:pPr>
              <w:pStyle w:val="Els-body-text"/>
              <w:jc w:val="left"/>
              <w:rPr>
                <w:sz w:val="19"/>
                <w:szCs w:val="19"/>
                <w:lang w:val="en-GB"/>
              </w:rPr>
            </w:pPr>
            <w:r w:rsidRPr="00E925B1">
              <w:rPr>
                <w:sz w:val="19"/>
                <w:szCs w:val="19"/>
                <w:lang w:val="en-GB"/>
              </w:rPr>
              <w:t>2.1</w:t>
            </w:r>
            <w:r w:rsidR="000B4D53">
              <w:rPr>
                <w:sz w:val="19"/>
                <w:szCs w:val="19"/>
                <w:lang w:val="en-GB"/>
              </w:rPr>
              <w:t>0</w:t>
            </w:r>
            <w:r w:rsidRPr="00E925B1">
              <w:rPr>
                <w:sz w:val="19"/>
                <w:szCs w:val="19"/>
                <w:lang w:val="en-GB"/>
              </w:rPr>
              <w:t xml:space="preserve"> $/litre</w:t>
            </w:r>
          </w:p>
        </w:tc>
        <w:tc>
          <w:tcPr>
            <w:tcW w:w="1553" w:type="dxa"/>
            <w:shd w:val="clear" w:color="auto" w:fill="D9D9D9" w:themeFill="background1" w:themeFillShade="D9"/>
            <w:vAlign w:val="center"/>
          </w:tcPr>
          <w:p w14:paraId="391ECF69" w14:textId="60313D8B" w:rsidR="00AD2DC4" w:rsidRPr="00E925B1" w:rsidRDefault="00AD2DC4">
            <w:pPr>
              <w:pStyle w:val="Els-body-text"/>
              <w:jc w:val="left"/>
              <w:rPr>
                <w:sz w:val="19"/>
                <w:szCs w:val="19"/>
                <w:lang w:val="en-GB"/>
              </w:rPr>
            </w:pPr>
            <w:r w:rsidRPr="00E925B1">
              <w:rPr>
                <w:sz w:val="19"/>
                <w:szCs w:val="19"/>
                <w:lang w:val="en-GB"/>
              </w:rPr>
              <w:t>17.9</w:t>
            </w:r>
          </w:p>
        </w:tc>
      </w:tr>
      <w:tr w:rsidR="00AD2DC4" w:rsidRPr="00E925B1" w14:paraId="2DF35F44" w14:textId="0B17B15D" w:rsidTr="00E03FBF">
        <w:trPr>
          <w:trHeight w:val="20"/>
        </w:trPr>
        <w:tc>
          <w:tcPr>
            <w:tcW w:w="1413" w:type="dxa"/>
            <w:shd w:val="clear" w:color="auto" w:fill="CCECFF"/>
            <w:vAlign w:val="center"/>
          </w:tcPr>
          <w:p w14:paraId="3C2C17EB" w14:textId="0250658E" w:rsidR="00AD2DC4" w:rsidRPr="00E925B1" w:rsidRDefault="00AD2DC4">
            <w:pPr>
              <w:pStyle w:val="Els-body-text"/>
              <w:jc w:val="left"/>
              <w:rPr>
                <w:sz w:val="19"/>
                <w:szCs w:val="19"/>
                <w:lang w:val="en-GB"/>
              </w:rPr>
            </w:pPr>
            <w:r w:rsidRPr="00E925B1">
              <w:rPr>
                <w:color w:val="000000"/>
                <w:sz w:val="19"/>
                <w:szCs w:val="19"/>
              </w:rPr>
              <w:t>CSL</w:t>
            </w:r>
          </w:p>
        </w:tc>
        <w:tc>
          <w:tcPr>
            <w:tcW w:w="709" w:type="dxa"/>
            <w:shd w:val="clear" w:color="auto" w:fill="CCECFF"/>
            <w:vAlign w:val="center"/>
          </w:tcPr>
          <w:p w14:paraId="029E5C54" w14:textId="0A39BDE5" w:rsidR="00AD2DC4" w:rsidRPr="00E925B1" w:rsidRDefault="00AD2DC4">
            <w:pPr>
              <w:pStyle w:val="Els-body-text"/>
              <w:jc w:val="left"/>
              <w:rPr>
                <w:sz w:val="19"/>
                <w:szCs w:val="19"/>
                <w:lang w:val="en-GB"/>
              </w:rPr>
            </w:pPr>
            <w:r w:rsidRPr="00E925B1">
              <w:rPr>
                <w:sz w:val="19"/>
                <w:szCs w:val="19"/>
                <w:lang w:val="en-GB"/>
              </w:rPr>
              <w:t>50</w:t>
            </w:r>
          </w:p>
        </w:tc>
        <w:tc>
          <w:tcPr>
            <w:tcW w:w="992" w:type="dxa"/>
            <w:tcBorders>
              <w:right w:val="single" w:sz="12" w:space="0" w:color="auto"/>
            </w:tcBorders>
            <w:shd w:val="clear" w:color="auto" w:fill="CCECFF"/>
            <w:vAlign w:val="center"/>
          </w:tcPr>
          <w:p w14:paraId="1048C0B6" w14:textId="1EABE213" w:rsidR="00AD2DC4" w:rsidRPr="00E925B1" w:rsidRDefault="00AD2DC4">
            <w:pPr>
              <w:pStyle w:val="Els-body-text"/>
              <w:jc w:val="left"/>
              <w:rPr>
                <w:sz w:val="19"/>
                <w:szCs w:val="19"/>
                <w:lang w:val="en-GB"/>
              </w:rPr>
            </w:pPr>
            <w:r w:rsidRPr="00E925B1">
              <w:rPr>
                <w:sz w:val="19"/>
                <w:szCs w:val="19"/>
                <w:lang w:val="en-GB"/>
              </w:rPr>
              <w:t>1.10</w:t>
            </w:r>
          </w:p>
        </w:tc>
        <w:tc>
          <w:tcPr>
            <w:tcW w:w="1417" w:type="dxa"/>
            <w:tcBorders>
              <w:left w:val="single" w:sz="12" w:space="0" w:color="auto"/>
            </w:tcBorders>
            <w:shd w:val="clear" w:color="auto" w:fill="D9D9D9" w:themeFill="background1" w:themeFillShade="D9"/>
            <w:vAlign w:val="center"/>
          </w:tcPr>
          <w:p w14:paraId="5215B074" w14:textId="5934D371" w:rsidR="00AD2DC4" w:rsidRPr="00E925B1" w:rsidRDefault="00AD2DC4">
            <w:pPr>
              <w:pStyle w:val="Els-body-text"/>
              <w:jc w:val="left"/>
              <w:rPr>
                <w:sz w:val="19"/>
                <w:szCs w:val="19"/>
                <w:lang w:val="en-GB"/>
              </w:rPr>
            </w:pPr>
            <w:r w:rsidRPr="00E925B1">
              <w:rPr>
                <w:sz w:val="19"/>
                <w:szCs w:val="19"/>
                <w:lang w:val="en-GB"/>
              </w:rPr>
              <w:t>Light diesel</w:t>
            </w:r>
          </w:p>
        </w:tc>
        <w:tc>
          <w:tcPr>
            <w:tcW w:w="993" w:type="dxa"/>
            <w:shd w:val="clear" w:color="auto" w:fill="D9D9D9" w:themeFill="background1" w:themeFillShade="D9"/>
            <w:vAlign w:val="center"/>
          </w:tcPr>
          <w:p w14:paraId="251F34AC" w14:textId="58D74527" w:rsidR="00AD2DC4" w:rsidRPr="00E925B1" w:rsidRDefault="00AD2DC4">
            <w:pPr>
              <w:pStyle w:val="Els-body-text"/>
              <w:jc w:val="left"/>
              <w:rPr>
                <w:sz w:val="19"/>
                <w:szCs w:val="19"/>
                <w:lang w:val="en-GB"/>
              </w:rPr>
            </w:pPr>
            <w:r w:rsidRPr="00E925B1">
              <w:rPr>
                <w:sz w:val="19"/>
                <w:szCs w:val="19"/>
                <w:lang w:val="en-GB"/>
              </w:rPr>
              <w:t>1.72 $/litre</w:t>
            </w:r>
          </w:p>
        </w:tc>
        <w:tc>
          <w:tcPr>
            <w:tcW w:w="1553" w:type="dxa"/>
            <w:shd w:val="clear" w:color="auto" w:fill="D9D9D9" w:themeFill="background1" w:themeFillShade="D9"/>
            <w:vAlign w:val="center"/>
          </w:tcPr>
          <w:p w14:paraId="39347EDB" w14:textId="637E9B46" w:rsidR="00AD2DC4" w:rsidRPr="00E925B1" w:rsidRDefault="00AD2DC4">
            <w:pPr>
              <w:pStyle w:val="Els-body-text"/>
              <w:jc w:val="left"/>
              <w:rPr>
                <w:sz w:val="19"/>
                <w:szCs w:val="19"/>
                <w:lang w:val="en-GB"/>
              </w:rPr>
            </w:pPr>
            <w:r w:rsidRPr="00E925B1">
              <w:rPr>
                <w:sz w:val="19"/>
                <w:szCs w:val="19"/>
                <w:lang w:val="en-GB"/>
              </w:rPr>
              <w:t>25.9</w:t>
            </w:r>
          </w:p>
        </w:tc>
      </w:tr>
      <w:tr w:rsidR="00AD2DC4" w:rsidRPr="00E925B1" w14:paraId="5D02A4F4" w14:textId="78BA398D" w:rsidTr="00E03FBF">
        <w:trPr>
          <w:trHeight w:val="20"/>
        </w:trPr>
        <w:tc>
          <w:tcPr>
            <w:tcW w:w="1413" w:type="dxa"/>
            <w:shd w:val="clear" w:color="auto" w:fill="CCECFF"/>
            <w:vAlign w:val="center"/>
          </w:tcPr>
          <w:p w14:paraId="6C9A8705" w14:textId="285741DF" w:rsidR="00AD2DC4" w:rsidRPr="00E925B1" w:rsidRDefault="00AD2DC4">
            <w:pPr>
              <w:pStyle w:val="Els-body-text"/>
              <w:jc w:val="left"/>
              <w:rPr>
                <w:sz w:val="19"/>
                <w:szCs w:val="19"/>
                <w:lang w:val="en-GB"/>
              </w:rPr>
            </w:pPr>
            <w:r w:rsidRPr="00E925B1">
              <w:rPr>
                <w:sz w:val="19"/>
                <w:szCs w:val="19"/>
                <w:lang w:val="en-GB"/>
              </w:rPr>
              <w:t>Ethylene glycol</w:t>
            </w:r>
          </w:p>
        </w:tc>
        <w:tc>
          <w:tcPr>
            <w:tcW w:w="709" w:type="dxa"/>
            <w:shd w:val="clear" w:color="auto" w:fill="CCECFF"/>
            <w:vAlign w:val="center"/>
          </w:tcPr>
          <w:p w14:paraId="7F3ACA6A" w14:textId="6AA552A4" w:rsidR="00AD2DC4" w:rsidRPr="00E925B1" w:rsidRDefault="00AD2DC4">
            <w:pPr>
              <w:pStyle w:val="Els-body-text"/>
              <w:jc w:val="left"/>
              <w:rPr>
                <w:sz w:val="19"/>
                <w:szCs w:val="19"/>
                <w:lang w:val="en-GB"/>
              </w:rPr>
            </w:pPr>
            <w:r w:rsidRPr="00E925B1">
              <w:rPr>
                <w:sz w:val="19"/>
                <w:szCs w:val="19"/>
                <w:lang w:val="en-GB"/>
              </w:rPr>
              <w:t>860</w:t>
            </w:r>
          </w:p>
        </w:tc>
        <w:tc>
          <w:tcPr>
            <w:tcW w:w="992" w:type="dxa"/>
            <w:tcBorders>
              <w:right w:val="single" w:sz="12" w:space="0" w:color="auto"/>
            </w:tcBorders>
            <w:shd w:val="clear" w:color="auto" w:fill="CCECFF"/>
            <w:vAlign w:val="center"/>
          </w:tcPr>
          <w:p w14:paraId="0D74519A" w14:textId="7E126BD7" w:rsidR="00AD2DC4" w:rsidRPr="00E925B1" w:rsidRDefault="00AD2DC4">
            <w:pPr>
              <w:pStyle w:val="Els-body-text"/>
              <w:jc w:val="left"/>
              <w:rPr>
                <w:sz w:val="19"/>
                <w:szCs w:val="19"/>
                <w:lang w:val="en-GB"/>
              </w:rPr>
            </w:pPr>
            <w:r w:rsidRPr="00E925B1">
              <w:rPr>
                <w:sz w:val="19"/>
                <w:szCs w:val="19"/>
                <w:lang w:val="en-GB"/>
              </w:rPr>
              <w:t>0.01</w:t>
            </w:r>
          </w:p>
        </w:tc>
        <w:tc>
          <w:tcPr>
            <w:tcW w:w="1417" w:type="dxa"/>
            <w:tcBorders>
              <w:left w:val="single" w:sz="12" w:space="0" w:color="auto"/>
            </w:tcBorders>
            <w:shd w:val="clear" w:color="auto" w:fill="D9D9D9" w:themeFill="background1" w:themeFillShade="D9"/>
            <w:vAlign w:val="center"/>
          </w:tcPr>
          <w:p w14:paraId="426B359F" w14:textId="1AE667E6" w:rsidR="00AD2DC4" w:rsidRPr="00E925B1" w:rsidRDefault="00AD2DC4">
            <w:pPr>
              <w:pStyle w:val="Els-body-text"/>
              <w:jc w:val="left"/>
              <w:rPr>
                <w:sz w:val="19"/>
                <w:szCs w:val="19"/>
                <w:lang w:val="en-GB"/>
              </w:rPr>
            </w:pPr>
            <w:r w:rsidRPr="00E925B1">
              <w:rPr>
                <w:sz w:val="19"/>
                <w:szCs w:val="19"/>
                <w:lang w:val="en-GB"/>
              </w:rPr>
              <w:t>Heavy diesel</w:t>
            </w:r>
          </w:p>
        </w:tc>
        <w:tc>
          <w:tcPr>
            <w:tcW w:w="993" w:type="dxa"/>
            <w:shd w:val="clear" w:color="auto" w:fill="D9D9D9" w:themeFill="background1" w:themeFillShade="D9"/>
            <w:vAlign w:val="center"/>
          </w:tcPr>
          <w:p w14:paraId="25F4E2D7" w14:textId="11D1710D" w:rsidR="00AD2DC4" w:rsidRPr="00E925B1" w:rsidRDefault="00AD2DC4">
            <w:pPr>
              <w:pStyle w:val="Els-body-text"/>
              <w:jc w:val="left"/>
              <w:rPr>
                <w:sz w:val="19"/>
                <w:szCs w:val="19"/>
                <w:lang w:val="en-GB"/>
              </w:rPr>
            </w:pPr>
            <w:r w:rsidRPr="00E925B1">
              <w:rPr>
                <w:sz w:val="19"/>
                <w:szCs w:val="19"/>
                <w:lang w:val="en-GB"/>
              </w:rPr>
              <w:t>0.37 $/litre</w:t>
            </w:r>
          </w:p>
        </w:tc>
        <w:tc>
          <w:tcPr>
            <w:tcW w:w="1553" w:type="dxa"/>
            <w:shd w:val="clear" w:color="auto" w:fill="D9D9D9" w:themeFill="background1" w:themeFillShade="D9"/>
            <w:vAlign w:val="center"/>
          </w:tcPr>
          <w:p w14:paraId="3EAF0FEC" w14:textId="0806676B" w:rsidR="00AD2DC4" w:rsidRPr="00E925B1" w:rsidRDefault="00AD2DC4">
            <w:pPr>
              <w:pStyle w:val="Els-body-text"/>
              <w:jc w:val="left"/>
              <w:rPr>
                <w:sz w:val="19"/>
                <w:szCs w:val="19"/>
                <w:lang w:val="en-GB"/>
              </w:rPr>
            </w:pPr>
            <w:r w:rsidRPr="00E925B1">
              <w:rPr>
                <w:sz w:val="19"/>
                <w:szCs w:val="19"/>
                <w:lang w:val="en-GB"/>
              </w:rPr>
              <w:t xml:space="preserve">  2.0</w:t>
            </w:r>
          </w:p>
        </w:tc>
      </w:tr>
    </w:tbl>
    <w:p w14:paraId="65A77A7D" w14:textId="77777777" w:rsidR="009D184E" w:rsidRDefault="009D184E" w:rsidP="006C3DF7">
      <w:pPr>
        <w:pStyle w:val="Els-body-text"/>
        <w:rPr>
          <w:lang w:val="en-GB"/>
        </w:rPr>
      </w:pPr>
    </w:p>
    <w:p w14:paraId="4013823D" w14:textId="7C2B5B74" w:rsidR="006A2D0E" w:rsidRDefault="00B549FD" w:rsidP="009B70FB">
      <w:pPr>
        <w:pStyle w:val="Els-body-text"/>
        <w:rPr>
          <w:lang w:val="en-GB"/>
        </w:rPr>
      </w:pPr>
      <w:bookmarkStart w:id="5" w:name="_Ref150500847"/>
      <w:r>
        <w:rPr>
          <w:lang w:val="en-GB"/>
        </w:rPr>
        <w:t xml:space="preserve">In addition to </w:t>
      </w:r>
      <w:r w:rsidR="009B70FB">
        <w:t>CAPEX, OPEX</w:t>
      </w:r>
      <w:r w:rsidR="006A2D0E">
        <w:t xml:space="preserve"> and</w:t>
      </w:r>
      <w:r w:rsidR="009B70FB">
        <w:t xml:space="preserve"> revenues</w:t>
      </w:r>
      <w:r>
        <w:t xml:space="preserve">, </w:t>
      </w:r>
      <w:r w:rsidR="007262B6" w:rsidRPr="007262B6">
        <w:fldChar w:fldCharType="begin"/>
      </w:r>
      <w:r w:rsidR="007262B6" w:rsidRPr="007262B6">
        <w:instrText xml:space="preserve"> REF _Ref151999745 \h  \* MERGEFORMAT </w:instrText>
      </w:r>
      <w:r w:rsidR="007262B6" w:rsidRPr="007262B6">
        <w:fldChar w:fldCharType="separate"/>
      </w:r>
      <w:r w:rsidR="00F962E1" w:rsidRPr="00F962E1">
        <w:t xml:space="preserve">Table </w:t>
      </w:r>
      <w:r w:rsidR="00F962E1" w:rsidRPr="00F962E1">
        <w:rPr>
          <w:noProof/>
        </w:rPr>
        <w:t>3</w:t>
      </w:r>
      <w:r w:rsidR="007262B6" w:rsidRPr="007262B6">
        <w:fldChar w:fldCharType="end"/>
      </w:r>
      <w:r w:rsidR="006A2D0E">
        <w:rPr>
          <w:lang w:val="en-GB"/>
        </w:rPr>
        <w:t xml:space="preserve"> </w:t>
      </w:r>
      <w:r>
        <w:t>indicates the profitability indexes, i.e., the internal rate of return (IRR)</w:t>
      </w:r>
      <w:r w:rsidR="005C212D">
        <w:t>,</w:t>
      </w:r>
      <w:r w:rsidR="009B70FB">
        <w:t xml:space="preserve"> payback time (PBT)</w:t>
      </w:r>
      <w:r w:rsidR="005C212D">
        <w:t xml:space="preserve"> and MESP/MGHP</w:t>
      </w:r>
      <w:r w:rsidR="001B09A8">
        <w:t>,</w:t>
      </w:r>
      <w:r w:rsidR="006A2D0E">
        <w:t xml:space="preserve"> </w:t>
      </w:r>
      <w:r w:rsidR="004E5AC0">
        <w:t>resulting from</w:t>
      </w:r>
      <w:r w:rsidR="006A2D0E">
        <w:rPr>
          <w:lang w:val="en-GB"/>
        </w:rPr>
        <w:t xml:space="preserve"> the sensitivity analysis described in Section </w:t>
      </w:r>
      <w:r w:rsidR="006A2D0E">
        <w:rPr>
          <w:lang w:val="en-GB"/>
        </w:rPr>
        <w:fldChar w:fldCharType="begin"/>
      </w:r>
      <w:r w:rsidR="006A2D0E">
        <w:rPr>
          <w:lang w:val="en-GB"/>
        </w:rPr>
        <w:instrText xml:space="preserve"> REF _Ref150500832 \r \h </w:instrText>
      </w:r>
      <w:r w:rsidR="006A2D0E">
        <w:rPr>
          <w:lang w:val="en-GB"/>
        </w:rPr>
      </w:r>
      <w:r w:rsidR="006A2D0E">
        <w:rPr>
          <w:lang w:val="en-GB"/>
        </w:rPr>
        <w:fldChar w:fldCharType="separate"/>
      </w:r>
      <w:r w:rsidR="00F962E1">
        <w:rPr>
          <w:lang w:val="en-GB"/>
        </w:rPr>
        <w:t>3.2</w:t>
      </w:r>
      <w:r w:rsidR="006A2D0E">
        <w:rPr>
          <w:lang w:val="en-GB"/>
        </w:rPr>
        <w:fldChar w:fldCharType="end"/>
      </w:r>
      <w:r>
        <w:t>.</w:t>
      </w:r>
      <w:r w:rsidR="004E5AC0">
        <w:t xml:space="preserve"> </w:t>
      </w:r>
      <w:r w:rsidR="004E5AC0">
        <w:rPr>
          <w:lang w:val="en-GB"/>
        </w:rPr>
        <w:t xml:space="preserve">For PBT, “Never” </w:t>
      </w:r>
      <w:r w:rsidR="004E5AC0" w:rsidRPr="006A2D0E">
        <w:rPr>
          <w:lang w:val="en-GB"/>
        </w:rPr>
        <w:t xml:space="preserve">means that the investment </w:t>
      </w:r>
      <w:r w:rsidR="004E5AC0">
        <w:rPr>
          <w:lang w:val="en-GB"/>
        </w:rPr>
        <w:t xml:space="preserve">cannot be recovered </w:t>
      </w:r>
      <w:r w:rsidR="00242ECF">
        <w:rPr>
          <w:lang w:val="en-GB"/>
        </w:rPr>
        <w:t>by</w:t>
      </w:r>
      <w:r w:rsidR="004E5AC0" w:rsidRPr="006A2D0E">
        <w:rPr>
          <w:lang w:val="en-GB"/>
        </w:rPr>
        <w:t xml:space="preserve"> 20 years (i.e., the </w:t>
      </w:r>
      <w:r w:rsidR="0099037C" w:rsidRPr="006A2D0E">
        <w:rPr>
          <w:lang w:val="en-GB"/>
        </w:rPr>
        <w:t>assumed</w:t>
      </w:r>
      <w:r w:rsidR="0099037C" w:rsidRPr="00275224">
        <w:rPr>
          <w:lang w:val="en-GB"/>
        </w:rPr>
        <w:t xml:space="preserve"> </w:t>
      </w:r>
      <w:r w:rsidR="004E5AC0" w:rsidRPr="00275224">
        <w:rPr>
          <w:lang w:val="en-GB"/>
        </w:rPr>
        <w:t>biorefinery</w:t>
      </w:r>
      <w:r w:rsidR="004E5AC0">
        <w:rPr>
          <w:lang w:val="en-GB"/>
        </w:rPr>
        <w:t>’s</w:t>
      </w:r>
      <w:r w:rsidR="004E5AC0" w:rsidRPr="00275224">
        <w:rPr>
          <w:lang w:val="en-GB"/>
        </w:rPr>
        <w:t xml:space="preserve"> </w:t>
      </w:r>
      <w:r w:rsidR="004E5AC0" w:rsidRPr="006A2D0E">
        <w:rPr>
          <w:lang w:val="en-GB"/>
        </w:rPr>
        <w:t>lifetime).</w:t>
      </w:r>
    </w:p>
    <w:p w14:paraId="4DBC9D7E" w14:textId="77777777" w:rsidR="00D61DA1" w:rsidRDefault="00D61DA1" w:rsidP="009B70FB">
      <w:pPr>
        <w:pStyle w:val="Els-body-text"/>
      </w:pPr>
    </w:p>
    <w:p w14:paraId="3281657E" w14:textId="72FF8A23" w:rsidR="005B07BF" w:rsidRDefault="005B07BF" w:rsidP="00424E56">
      <w:pPr>
        <w:pStyle w:val="Caption"/>
        <w:keepNext/>
        <w:jc w:val="both"/>
      </w:pPr>
      <w:bookmarkStart w:id="6" w:name="_Ref151999745"/>
      <w:r w:rsidRPr="00870756">
        <w:rPr>
          <w:b/>
          <w:bCs/>
        </w:rPr>
        <w:t xml:space="preserve">Table </w:t>
      </w:r>
      <w:r w:rsidRPr="00870756">
        <w:rPr>
          <w:b/>
          <w:bCs/>
        </w:rPr>
        <w:fldChar w:fldCharType="begin"/>
      </w:r>
      <w:r w:rsidRPr="00870756">
        <w:rPr>
          <w:b/>
          <w:bCs/>
        </w:rPr>
        <w:instrText xml:space="preserve"> SEQ Table \* ARABIC </w:instrText>
      </w:r>
      <w:r w:rsidRPr="00870756">
        <w:rPr>
          <w:b/>
          <w:bCs/>
        </w:rPr>
        <w:fldChar w:fldCharType="separate"/>
      </w:r>
      <w:r w:rsidR="00F962E1">
        <w:rPr>
          <w:b/>
          <w:bCs/>
          <w:noProof/>
        </w:rPr>
        <w:t>3</w:t>
      </w:r>
      <w:r w:rsidRPr="00870756">
        <w:rPr>
          <w:b/>
          <w:bCs/>
        </w:rPr>
        <w:fldChar w:fldCharType="end"/>
      </w:r>
      <w:bookmarkEnd w:id="5"/>
      <w:bookmarkEnd w:id="6"/>
      <w:r>
        <w:t xml:space="preserve">: </w:t>
      </w:r>
      <w:r w:rsidR="00B92B3F">
        <w:t>Results</w:t>
      </w:r>
      <w:r w:rsidR="008B4B57">
        <w:t xml:space="preserve"> of the s</w:t>
      </w:r>
      <w:r w:rsidR="00ED108D">
        <w:t>ensitivity analysis</w:t>
      </w:r>
      <w:r w:rsidR="008B4B57">
        <w:t>.</w:t>
      </w:r>
      <w:r w:rsidR="00A57920">
        <w:t xml:space="preserve"> </w:t>
      </w:r>
      <w:r w:rsidR="00F408E9">
        <w:t>Colored</w:t>
      </w:r>
      <w:r w:rsidR="00D47319">
        <w:t xml:space="preserve"> c</w:t>
      </w:r>
      <w:r w:rsidR="00A57920">
        <w:t>ell</w:t>
      </w:r>
      <w:r w:rsidR="00B55ACC">
        <w:t>(</w:t>
      </w:r>
      <w:r w:rsidR="00A57920">
        <w:t>s</w:t>
      </w:r>
      <w:r w:rsidR="00B55ACC">
        <w:t>)</w:t>
      </w:r>
      <w:r w:rsidR="00A57920">
        <w:t xml:space="preserve"> </w:t>
      </w:r>
      <w:r w:rsidR="00F04A88">
        <w:t>rep</w:t>
      </w:r>
      <w:r w:rsidR="00B55ACC">
        <w:t>ort</w:t>
      </w:r>
      <w:r w:rsidR="00F04A88">
        <w:t xml:space="preserve"> the </w:t>
      </w:r>
      <w:r w:rsidR="00D47319">
        <w:t xml:space="preserve">main </w:t>
      </w:r>
      <w:r w:rsidR="005F3607">
        <w:t>outcome</w:t>
      </w:r>
      <w:r w:rsidR="00B55ACC">
        <w:t>(</w:t>
      </w:r>
      <w:r w:rsidR="005F3607">
        <w:t>s</w:t>
      </w:r>
      <w:r w:rsidR="00B55ACC">
        <w:t>)</w:t>
      </w:r>
      <w:r w:rsidR="005F3607">
        <w:t xml:space="preserve"> of the </w:t>
      </w:r>
      <w:r w:rsidR="00723B12">
        <w:t xml:space="preserve">corresponding case study (CS). </w:t>
      </w:r>
      <w:r w:rsidR="007D69EF">
        <w:t xml:space="preserve">Different colors </w:t>
      </w:r>
      <w:r w:rsidR="00F050BF">
        <w:t>cluster</w:t>
      </w:r>
      <w:r w:rsidR="007D69EF">
        <w:t xml:space="preserve"> </w:t>
      </w:r>
      <w:r w:rsidR="00802480">
        <w:t>the cases as reported in</w:t>
      </w:r>
      <w:r w:rsidR="00F050BF">
        <w:t xml:space="preserve"> Section </w:t>
      </w:r>
      <w:r w:rsidR="00573B02">
        <w:t>3.2.</w:t>
      </w:r>
    </w:p>
    <w:tbl>
      <w:tblPr>
        <w:tblStyle w:val="TableGrid"/>
        <w:tblW w:w="7077" w:type="dxa"/>
        <w:tblLook w:val="04A0" w:firstRow="1" w:lastRow="0" w:firstColumn="1" w:lastColumn="0" w:noHBand="0" w:noVBand="1"/>
      </w:tblPr>
      <w:tblGrid>
        <w:gridCol w:w="694"/>
        <w:gridCol w:w="687"/>
        <w:gridCol w:w="863"/>
        <w:gridCol w:w="1012"/>
        <w:gridCol w:w="992"/>
        <w:gridCol w:w="854"/>
        <w:gridCol w:w="1007"/>
        <w:gridCol w:w="968"/>
      </w:tblGrid>
      <w:tr w:rsidR="007E1009" w:rsidRPr="00E925B1" w14:paraId="0B4C1380" w14:textId="77777777" w:rsidTr="001D7C74">
        <w:tc>
          <w:tcPr>
            <w:tcW w:w="694" w:type="dxa"/>
          </w:tcPr>
          <w:p w14:paraId="03744E36" w14:textId="44744AED" w:rsidR="0084217D" w:rsidRPr="00E925B1" w:rsidRDefault="0084217D" w:rsidP="0084217D">
            <w:pPr>
              <w:pStyle w:val="Els-body-text"/>
              <w:rPr>
                <w:b/>
                <w:bCs/>
                <w:sz w:val="19"/>
                <w:szCs w:val="19"/>
                <w:lang w:val="en-GB"/>
              </w:rPr>
            </w:pPr>
            <w:r w:rsidRPr="00E925B1">
              <w:rPr>
                <w:b/>
                <w:bCs/>
                <w:sz w:val="19"/>
                <w:szCs w:val="19"/>
                <w:lang w:val="en-GB"/>
              </w:rPr>
              <w:t>Case</w:t>
            </w:r>
          </w:p>
        </w:tc>
        <w:tc>
          <w:tcPr>
            <w:tcW w:w="687" w:type="dxa"/>
          </w:tcPr>
          <w:p w14:paraId="4BBFB903" w14:textId="77777777" w:rsidR="005852B3" w:rsidRPr="00DE4023" w:rsidRDefault="0084217D" w:rsidP="0084217D">
            <w:pPr>
              <w:pStyle w:val="Els-body-text"/>
              <w:rPr>
                <w:b/>
                <w:color w:val="008000"/>
                <w:sz w:val="19"/>
                <w:szCs w:val="19"/>
                <w:lang w:val="en-GB"/>
              </w:rPr>
            </w:pPr>
            <w:r w:rsidRPr="00DE4023">
              <w:rPr>
                <w:b/>
                <w:color w:val="008000"/>
                <w:sz w:val="19"/>
                <w:szCs w:val="19"/>
                <w:lang w:val="en-GB"/>
              </w:rPr>
              <w:t>IRR</w:t>
            </w:r>
          </w:p>
          <w:p w14:paraId="1FE928D0" w14:textId="152988D3" w:rsidR="0084217D" w:rsidRPr="00E925B1" w:rsidRDefault="0084217D" w:rsidP="0084217D">
            <w:pPr>
              <w:pStyle w:val="Els-body-text"/>
              <w:rPr>
                <w:b/>
                <w:bCs/>
                <w:sz w:val="19"/>
                <w:szCs w:val="19"/>
                <w:lang w:val="en-GB"/>
              </w:rPr>
            </w:pPr>
            <w:r w:rsidRPr="00E925B1">
              <w:rPr>
                <w:b/>
                <w:bCs/>
                <w:sz w:val="19"/>
                <w:szCs w:val="19"/>
                <w:lang w:val="en-GB"/>
              </w:rPr>
              <w:t>(%)</w:t>
            </w:r>
          </w:p>
        </w:tc>
        <w:tc>
          <w:tcPr>
            <w:tcW w:w="863" w:type="dxa"/>
          </w:tcPr>
          <w:p w14:paraId="25ED5DE8" w14:textId="5C6CBF5F" w:rsidR="005852B3" w:rsidRPr="00E925B1" w:rsidRDefault="005852B3" w:rsidP="0084217D">
            <w:pPr>
              <w:pStyle w:val="Els-body-text"/>
              <w:rPr>
                <w:b/>
                <w:bCs/>
                <w:sz w:val="19"/>
                <w:szCs w:val="19"/>
                <w:lang w:val="en-GB"/>
              </w:rPr>
            </w:pPr>
            <w:r w:rsidRPr="00E925B1">
              <w:rPr>
                <w:b/>
                <w:bCs/>
                <w:color w:val="FF0000"/>
                <w:sz w:val="19"/>
                <w:szCs w:val="19"/>
                <w:lang w:val="en-GB"/>
              </w:rPr>
              <w:t>MESP</w:t>
            </w:r>
          </w:p>
          <w:p w14:paraId="3C264EAE" w14:textId="3AB70C4F" w:rsidR="005852B3" w:rsidRPr="00E925B1" w:rsidRDefault="001D7C74" w:rsidP="0084217D">
            <w:pPr>
              <w:pStyle w:val="Els-body-text"/>
              <w:rPr>
                <w:b/>
                <w:bCs/>
                <w:color w:val="FF0000"/>
                <w:sz w:val="19"/>
                <w:szCs w:val="19"/>
                <w:lang w:val="en-GB"/>
              </w:rPr>
            </w:pPr>
            <w:r w:rsidRPr="001D7C74">
              <w:rPr>
                <w:b/>
                <w:bCs/>
                <w:sz w:val="19"/>
                <w:szCs w:val="19"/>
                <w:lang w:val="en-GB"/>
              </w:rPr>
              <w:t>($/litre)</w:t>
            </w:r>
          </w:p>
        </w:tc>
        <w:tc>
          <w:tcPr>
            <w:tcW w:w="1012" w:type="dxa"/>
          </w:tcPr>
          <w:p w14:paraId="4BDF9D8F" w14:textId="77777777" w:rsidR="005852B3" w:rsidRPr="001D7C74" w:rsidRDefault="001D7C74" w:rsidP="001D7C74">
            <w:pPr>
              <w:pStyle w:val="Els-body-text"/>
              <w:rPr>
                <w:b/>
                <w:bCs/>
                <w:sz w:val="19"/>
                <w:szCs w:val="19"/>
                <w:lang w:val="en-GB"/>
              </w:rPr>
            </w:pPr>
            <w:r w:rsidRPr="001D7C74">
              <w:rPr>
                <w:b/>
                <w:bCs/>
                <w:color w:val="0070C0"/>
                <w:sz w:val="19"/>
                <w:szCs w:val="19"/>
                <w:lang w:val="en-GB"/>
              </w:rPr>
              <w:t>MGHP</w:t>
            </w:r>
          </w:p>
          <w:p w14:paraId="4ECF7A12" w14:textId="4F0BB8BF" w:rsidR="0084217D" w:rsidRPr="001D7C74" w:rsidRDefault="001D7C74" w:rsidP="0084217D">
            <w:pPr>
              <w:pStyle w:val="Els-body-text"/>
              <w:rPr>
                <w:b/>
                <w:sz w:val="19"/>
                <w:szCs w:val="19"/>
                <w:lang w:val="en-GB"/>
              </w:rPr>
            </w:pPr>
            <w:r>
              <w:rPr>
                <w:b/>
                <w:bCs/>
                <w:sz w:val="19"/>
                <w:szCs w:val="19"/>
                <w:lang w:val="en-GB"/>
              </w:rPr>
              <w:t>(</w:t>
            </w:r>
            <w:r w:rsidRPr="001D7C74">
              <w:rPr>
                <w:b/>
                <w:bCs/>
                <w:sz w:val="19"/>
                <w:szCs w:val="19"/>
                <w:lang w:val="en-GB"/>
              </w:rPr>
              <w:t>$/kg</w:t>
            </w:r>
            <w:r w:rsidRPr="001614BC">
              <w:rPr>
                <w:b/>
                <w:bCs/>
                <w:sz w:val="19"/>
                <w:szCs w:val="19"/>
                <w:vertAlign w:val="subscript"/>
                <w:lang w:val="en-GB"/>
              </w:rPr>
              <w:t>H2</w:t>
            </w:r>
            <w:r w:rsidRPr="001D7C74">
              <w:rPr>
                <w:b/>
                <w:bCs/>
                <w:sz w:val="19"/>
                <w:szCs w:val="19"/>
                <w:lang w:val="en-GB"/>
              </w:rPr>
              <w:t>)</w:t>
            </w:r>
          </w:p>
        </w:tc>
        <w:tc>
          <w:tcPr>
            <w:tcW w:w="992" w:type="dxa"/>
          </w:tcPr>
          <w:p w14:paraId="29C148BD" w14:textId="77777777" w:rsidR="0084217D" w:rsidRPr="00E925B1" w:rsidRDefault="0084217D" w:rsidP="0084217D">
            <w:pPr>
              <w:pStyle w:val="Els-body-text"/>
              <w:rPr>
                <w:b/>
                <w:bCs/>
                <w:sz w:val="19"/>
                <w:szCs w:val="19"/>
                <w:lang w:val="en-GB"/>
              </w:rPr>
            </w:pPr>
            <w:r w:rsidRPr="00E925B1">
              <w:rPr>
                <w:b/>
                <w:bCs/>
                <w:sz w:val="19"/>
                <w:szCs w:val="19"/>
                <w:lang w:val="en-GB"/>
              </w:rPr>
              <w:t>CAPEX</w:t>
            </w:r>
          </w:p>
          <w:p w14:paraId="088ADB76" w14:textId="67D9D3A6" w:rsidR="001F115B" w:rsidRPr="00E925B1" w:rsidRDefault="001F115B" w:rsidP="0084217D">
            <w:pPr>
              <w:pStyle w:val="Els-body-text"/>
              <w:rPr>
                <w:b/>
                <w:bCs/>
                <w:sz w:val="19"/>
                <w:szCs w:val="19"/>
                <w:lang w:val="en-GB"/>
              </w:rPr>
            </w:pPr>
            <w:r w:rsidRPr="00E925B1">
              <w:rPr>
                <w:b/>
                <w:bCs/>
                <w:sz w:val="19"/>
                <w:szCs w:val="19"/>
                <w:lang w:val="en-GB"/>
              </w:rPr>
              <w:t>(M$)</w:t>
            </w:r>
          </w:p>
        </w:tc>
        <w:tc>
          <w:tcPr>
            <w:tcW w:w="854" w:type="dxa"/>
          </w:tcPr>
          <w:p w14:paraId="4D9F22F7" w14:textId="77777777" w:rsidR="0084217D" w:rsidRPr="00E925B1" w:rsidRDefault="0084217D" w:rsidP="0084217D">
            <w:pPr>
              <w:pStyle w:val="Els-body-text"/>
              <w:rPr>
                <w:b/>
                <w:bCs/>
                <w:sz w:val="19"/>
                <w:szCs w:val="19"/>
                <w:lang w:val="en-GB"/>
              </w:rPr>
            </w:pPr>
            <w:r w:rsidRPr="00E925B1">
              <w:rPr>
                <w:b/>
                <w:bCs/>
                <w:sz w:val="19"/>
                <w:szCs w:val="19"/>
                <w:lang w:val="en-GB"/>
              </w:rPr>
              <w:t>OPEX</w:t>
            </w:r>
          </w:p>
          <w:p w14:paraId="5211E5F4" w14:textId="6E20D9E6" w:rsidR="001F115B" w:rsidRPr="00E925B1" w:rsidRDefault="001F115B" w:rsidP="0084217D">
            <w:pPr>
              <w:pStyle w:val="Els-body-text"/>
              <w:rPr>
                <w:b/>
                <w:bCs/>
                <w:sz w:val="19"/>
                <w:szCs w:val="19"/>
                <w:lang w:val="en-GB"/>
              </w:rPr>
            </w:pPr>
            <w:r w:rsidRPr="00E925B1">
              <w:rPr>
                <w:b/>
                <w:bCs/>
                <w:sz w:val="19"/>
                <w:szCs w:val="19"/>
                <w:lang w:val="en-GB"/>
              </w:rPr>
              <w:t>(M$)</w:t>
            </w:r>
          </w:p>
        </w:tc>
        <w:tc>
          <w:tcPr>
            <w:tcW w:w="1007" w:type="dxa"/>
          </w:tcPr>
          <w:p w14:paraId="589AFF0D" w14:textId="77777777" w:rsidR="0084217D" w:rsidRPr="00E925B1" w:rsidRDefault="0084217D" w:rsidP="0084217D">
            <w:pPr>
              <w:pStyle w:val="Els-body-text"/>
              <w:rPr>
                <w:b/>
                <w:bCs/>
                <w:sz w:val="19"/>
                <w:szCs w:val="19"/>
                <w:lang w:val="en-GB"/>
              </w:rPr>
            </w:pPr>
            <w:r w:rsidRPr="00E925B1">
              <w:rPr>
                <w:b/>
                <w:bCs/>
                <w:sz w:val="19"/>
                <w:szCs w:val="19"/>
                <w:lang w:val="en-GB"/>
              </w:rPr>
              <w:t>Revenues</w:t>
            </w:r>
          </w:p>
          <w:p w14:paraId="13AFA24D" w14:textId="09C3E1CE" w:rsidR="001F115B" w:rsidRPr="00E925B1" w:rsidRDefault="001F115B" w:rsidP="0084217D">
            <w:pPr>
              <w:pStyle w:val="Els-body-text"/>
              <w:rPr>
                <w:b/>
                <w:bCs/>
                <w:sz w:val="19"/>
                <w:szCs w:val="19"/>
                <w:lang w:val="en-GB"/>
              </w:rPr>
            </w:pPr>
            <w:r w:rsidRPr="00E925B1">
              <w:rPr>
                <w:b/>
                <w:bCs/>
                <w:sz w:val="19"/>
                <w:szCs w:val="19"/>
                <w:lang w:val="en-GB"/>
              </w:rPr>
              <w:t>(M$)</w:t>
            </w:r>
          </w:p>
        </w:tc>
        <w:tc>
          <w:tcPr>
            <w:tcW w:w="968" w:type="dxa"/>
          </w:tcPr>
          <w:p w14:paraId="3923E3E6" w14:textId="77777777" w:rsidR="00F74BAA" w:rsidRPr="00DE4023" w:rsidRDefault="00870756" w:rsidP="0084217D">
            <w:pPr>
              <w:pStyle w:val="Els-body-text"/>
              <w:rPr>
                <w:b/>
                <w:color w:val="008000"/>
                <w:sz w:val="19"/>
                <w:szCs w:val="19"/>
                <w:lang w:val="en-GB"/>
              </w:rPr>
            </w:pPr>
            <w:r w:rsidRPr="00DE4023">
              <w:rPr>
                <w:b/>
                <w:color w:val="008000"/>
                <w:sz w:val="19"/>
                <w:szCs w:val="19"/>
                <w:lang w:val="en-GB"/>
              </w:rPr>
              <w:t>PBT</w:t>
            </w:r>
          </w:p>
          <w:p w14:paraId="53F22396" w14:textId="4D78FA84" w:rsidR="0084217D" w:rsidRPr="00E925B1" w:rsidRDefault="00870756" w:rsidP="0084217D">
            <w:pPr>
              <w:pStyle w:val="Els-body-text"/>
              <w:rPr>
                <w:b/>
                <w:bCs/>
                <w:sz w:val="19"/>
                <w:szCs w:val="19"/>
                <w:lang w:val="en-GB"/>
              </w:rPr>
            </w:pPr>
            <w:r w:rsidRPr="00E925B1">
              <w:rPr>
                <w:b/>
                <w:bCs/>
                <w:sz w:val="19"/>
                <w:szCs w:val="19"/>
                <w:lang w:val="en-GB"/>
              </w:rPr>
              <w:t>(y</w:t>
            </w:r>
            <w:r w:rsidR="000169BF" w:rsidRPr="00E925B1">
              <w:rPr>
                <w:b/>
                <w:bCs/>
                <w:sz w:val="19"/>
                <w:szCs w:val="19"/>
                <w:lang w:val="en-GB"/>
              </w:rPr>
              <w:t>ear</w:t>
            </w:r>
            <w:r w:rsidRPr="00E925B1">
              <w:rPr>
                <w:b/>
                <w:bCs/>
                <w:sz w:val="19"/>
                <w:szCs w:val="19"/>
                <w:lang w:val="en-GB"/>
              </w:rPr>
              <w:t>)</w:t>
            </w:r>
          </w:p>
        </w:tc>
      </w:tr>
      <w:tr w:rsidR="00E21AE1" w:rsidRPr="00E925B1" w14:paraId="43A92C73" w14:textId="77777777" w:rsidTr="00DE4023">
        <w:tc>
          <w:tcPr>
            <w:tcW w:w="694" w:type="dxa"/>
          </w:tcPr>
          <w:p w14:paraId="0094DF75" w14:textId="0907C1FB" w:rsidR="00424E56" w:rsidRPr="00E925B1" w:rsidRDefault="00424E56" w:rsidP="00424E56">
            <w:pPr>
              <w:pStyle w:val="Els-body-text"/>
              <w:rPr>
                <w:sz w:val="19"/>
                <w:szCs w:val="19"/>
                <w:lang w:val="en-GB"/>
              </w:rPr>
            </w:pPr>
            <w:r w:rsidRPr="00E925B1">
              <w:rPr>
                <w:sz w:val="19"/>
                <w:szCs w:val="19"/>
                <w:lang w:val="en-GB"/>
              </w:rPr>
              <w:t>CS1</w:t>
            </w:r>
          </w:p>
        </w:tc>
        <w:tc>
          <w:tcPr>
            <w:tcW w:w="687" w:type="dxa"/>
            <w:shd w:val="clear" w:color="auto" w:fill="D6E3BC" w:themeFill="accent3" w:themeFillTint="66"/>
          </w:tcPr>
          <w:p w14:paraId="6A4D49B1" w14:textId="58B26489" w:rsidR="00424E56" w:rsidRPr="00E925B1" w:rsidRDefault="00424E56" w:rsidP="00424E56">
            <w:pPr>
              <w:pStyle w:val="Els-body-text"/>
              <w:rPr>
                <w:sz w:val="19"/>
                <w:szCs w:val="19"/>
                <w:lang w:val="en-GB"/>
              </w:rPr>
            </w:pPr>
            <w:r w:rsidRPr="00E925B1">
              <w:rPr>
                <w:sz w:val="19"/>
                <w:szCs w:val="19"/>
                <w:lang w:val="en-GB"/>
              </w:rPr>
              <w:t>17.5</w:t>
            </w:r>
          </w:p>
        </w:tc>
        <w:tc>
          <w:tcPr>
            <w:tcW w:w="863" w:type="dxa"/>
          </w:tcPr>
          <w:p w14:paraId="32C6411B" w14:textId="39406354" w:rsidR="005852B3" w:rsidRPr="00E925B1" w:rsidRDefault="001D7C74" w:rsidP="00424E56">
            <w:pPr>
              <w:pStyle w:val="Els-body-text"/>
              <w:rPr>
                <w:sz w:val="19"/>
                <w:szCs w:val="19"/>
                <w:lang w:val="en-GB"/>
              </w:rPr>
            </w:pPr>
            <w:r w:rsidRPr="001D7C74">
              <w:rPr>
                <w:sz w:val="19"/>
                <w:szCs w:val="19"/>
                <w:lang w:val="en-GB"/>
              </w:rPr>
              <w:t>0.80</w:t>
            </w:r>
            <w:r w:rsidR="006A7662">
              <w:rPr>
                <w:sz w:val="19"/>
                <w:szCs w:val="19"/>
                <w:vertAlign w:val="superscript"/>
                <w:lang w:val="en-GB"/>
              </w:rPr>
              <w:t>1</w:t>
            </w:r>
          </w:p>
        </w:tc>
        <w:tc>
          <w:tcPr>
            <w:tcW w:w="1012" w:type="dxa"/>
          </w:tcPr>
          <w:p w14:paraId="3211025D" w14:textId="7A9B697F" w:rsidR="00424E56" w:rsidRPr="00E925B1" w:rsidRDefault="001D7C74" w:rsidP="00424E56">
            <w:pPr>
              <w:pStyle w:val="Els-body-text"/>
              <w:rPr>
                <w:sz w:val="19"/>
                <w:szCs w:val="19"/>
                <w:lang w:val="en-GB"/>
              </w:rPr>
            </w:pPr>
            <w:r w:rsidRPr="001D7C74">
              <w:rPr>
                <w:sz w:val="19"/>
                <w:szCs w:val="19"/>
                <w:lang w:val="en-GB"/>
              </w:rPr>
              <w:t>1.50</w:t>
            </w:r>
            <w:r>
              <w:rPr>
                <w:sz w:val="19"/>
                <w:szCs w:val="19"/>
                <w:vertAlign w:val="superscript"/>
                <w:lang w:val="en-GB"/>
              </w:rPr>
              <w:t>1</w:t>
            </w:r>
          </w:p>
        </w:tc>
        <w:tc>
          <w:tcPr>
            <w:tcW w:w="992" w:type="dxa"/>
          </w:tcPr>
          <w:p w14:paraId="519480C7" w14:textId="28AC4248"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491D27B6" w14:textId="1F596B6F" w:rsidR="00424E56" w:rsidRPr="00E925B1" w:rsidRDefault="00424E56" w:rsidP="00424E56">
            <w:pPr>
              <w:pStyle w:val="Els-body-text"/>
              <w:rPr>
                <w:sz w:val="19"/>
                <w:szCs w:val="19"/>
                <w:lang w:val="en-GB"/>
              </w:rPr>
            </w:pPr>
            <w:r w:rsidRPr="00E925B1">
              <w:rPr>
                <w:sz w:val="19"/>
                <w:szCs w:val="19"/>
              </w:rPr>
              <w:t>49.24</w:t>
            </w:r>
          </w:p>
        </w:tc>
        <w:tc>
          <w:tcPr>
            <w:tcW w:w="1007" w:type="dxa"/>
          </w:tcPr>
          <w:p w14:paraId="7E894DA6" w14:textId="63A61985" w:rsidR="00424E56" w:rsidRPr="00E925B1" w:rsidRDefault="00424E56" w:rsidP="00424E56">
            <w:pPr>
              <w:pStyle w:val="Els-body-text"/>
              <w:rPr>
                <w:sz w:val="19"/>
                <w:szCs w:val="19"/>
                <w:lang w:val="en-GB"/>
              </w:rPr>
            </w:pPr>
            <w:r w:rsidRPr="00E925B1">
              <w:rPr>
                <w:sz w:val="19"/>
                <w:szCs w:val="19"/>
              </w:rPr>
              <w:t>67.9</w:t>
            </w:r>
            <w:r w:rsidR="00F07DBC" w:rsidRPr="00E925B1">
              <w:rPr>
                <w:sz w:val="19"/>
                <w:szCs w:val="19"/>
              </w:rPr>
              <w:t>0</w:t>
            </w:r>
          </w:p>
        </w:tc>
        <w:tc>
          <w:tcPr>
            <w:tcW w:w="968" w:type="dxa"/>
            <w:shd w:val="clear" w:color="auto" w:fill="D6E3BC" w:themeFill="accent3" w:themeFillTint="66"/>
          </w:tcPr>
          <w:p w14:paraId="7474E604" w14:textId="0C40BFB4" w:rsidR="00424E56" w:rsidRPr="00E925B1" w:rsidRDefault="00424E56" w:rsidP="00424E56">
            <w:pPr>
              <w:pStyle w:val="Els-body-text"/>
              <w:rPr>
                <w:sz w:val="19"/>
                <w:szCs w:val="19"/>
                <w:lang w:val="en-GB"/>
              </w:rPr>
            </w:pPr>
            <w:r w:rsidRPr="00E925B1">
              <w:rPr>
                <w:sz w:val="19"/>
                <w:szCs w:val="19"/>
                <w:lang w:val="en-GB"/>
              </w:rPr>
              <w:t>9.5</w:t>
            </w:r>
          </w:p>
        </w:tc>
      </w:tr>
      <w:tr w:rsidR="00E21AE1" w:rsidRPr="00E925B1" w14:paraId="389954CF" w14:textId="77777777" w:rsidTr="00DE4023">
        <w:tc>
          <w:tcPr>
            <w:tcW w:w="694" w:type="dxa"/>
          </w:tcPr>
          <w:p w14:paraId="4C1B2180" w14:textId="3512727C" w:rsidR="00424E56" w:rsidRPr="00E925B1" w:rsidRDefault="00424E56" w:rsidP="00424E56">
            <w:pPr>
              <w:pStyle w:val="Els-body-text"/>
              <w:rPr>
                <w:sz w:val="19"/>
                <w:szCs w:val="19"/>
                <w:lang w:val="en-GB"/>
              </w:rPr>
            </w:pPr>
            <w:r w:rsidRPr="00E925B1">
              <w:rPr>
                <w:sz w:val="19"/>
                <w:szCs w:val="19"/>
                <w:lang w:val="en-GB"/>
              </w:rPr>
              <w:t>CS2</w:t>
            </w:r>
          </w:p>
        </w:tc>
        <w:tc>
          <w:tcPr>
            <w:tcW w:w="687" w:type="dxa"/>
            <w:shd w:val="clear" w:color="auto" w:fill="D6E3BC" w:themeFill="accent3" w:themeFillTint="66"/>
          </w:tcPr>
          <w:p w14:paraId="47E110A7" w14:textId="7FC0F09A" w:rsidR="00424E56" w:rsidRPr="00E925B1" w:rsidRDefault="00424E56" w:rsidP="00424E56">
            <w:pPr>
              <w:pStyle w:val="Els-body-text"/>
              <w:rPr>
                <w:sz w:val="19"/>
                <w:szCs w:val="19"/>
                <w:lang w:val="en-GB"/>
              </w:rPr>
            </w:pPr>
            <w:r w:rsidRPr="00E925B1">
              <w:rPr>
                <w:sz w:val="19"/>
                <w:szCs w:val="19"/>
                <w:lang w:val="en-GB"/>
              </w:rPr>
              <w:t>9.40</w:t>
            </w:r>
          </w:p>
        </w:tc>
        <w:tc>
          <w:tcPr>
            <w:tcW w:w="863" w:type="dxa"/>
          </w:tcPr>
          <w:p w14:paraId="0F38C8EF" w14:textId="762F6A46" w:rsidR="005852B3" w:rsidRPr="00E925B1" w:rsidRDefault="001D7C74" w:rsidP="00424E56">
            <w:pPr>
              <w:pStyle w:val="Els-body-text"/>
              <w:rPr>
                <w:sz w:val="19"/>
                <w:szCs w:val="19"/>
                <w:lang w:val="en-GB"/>
              </w:rPr>
            </w:pPr>
            <w:r w:rsidRPr="005852B3">
              <w:rPr>
                <w:sz w:val="19"/>
                <w:szCs w:val="19"/>
                <w:lang w:val="en-GB"/>
              </w:rPr>
              <w:t>0.80</w:t>
            </w:r>
            <w:r w:rsidR="006A7662">
              <w:rPr>
                <w:sz w:val="19"/>
                <w:szCs w:val="19"/>
                <w:vertAlign w:val="superscript"/>
                <w:lang w:val="en-GB"/>
              </w:rPr>
              <w:t>1</w:t>
            </w:r>
          </w:p>
        </w:tc>
        <w:tc>
          <w:tcPr>
            <w:tcW w:w="1012" w:type="dxa"/>
          </w:tcPr>
          <w:p w14:paraId="2048B8C0" w14:textId="0B1E9AE5" w:rsidR="00424E56" w:rsidRPr="00E925B1" w:rsidRDefault="001D7C74" w:rsidP="00424E56">
            <w:pPr>
              <w:pStyle w:val="Els-body-text"/>
              <w:rPr>
                <w:sz w:val="19"/>
                <w:szCs w:val="19"/>
                <w:lang w:val="en-GB"/>
              </w:rPr>
            </w:pPr>
            <w:r w:rsidRPr="005852B3">
              <w:rPr>
                <w:sz w:val="19"/>
                <w:szCs w:val="19"/>
                <w:lang w:val="en-GB"/>
              </w:rPr>
              <w:t>1.50</w:t>
            </w:r>
            <w:r>
              <w:rPr>
                <w:sz w:val="19"/>
                <w:szCs w:val="19"/>
                <w:vertAlign w:val="superscript"/>
                <w:lang w:val="en-GB"/>
              </w:rPr>
              <w:t>1</w:t>
            </w:r>
          </w:p>
        </w:tc>
        <w:tc>
          <w:tcPr>
            <w:tcW w:w="992" w:type="dxa"/>
          </w:tcPr>
          <w:p w14:paraId="20E46EAD" w14:textId="4A38647A"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76769CEA" w14:textId="447B4C54" w:rsidR="00424E56" w:rsidRPr="00E925B1" w:rsidRDefault="00424E56" w:rsidP="00424E56">
            <w:pPr>
              <w:pStyle w:val="Els-body-text"/>
              <w:rPr>
                <w:sz w:val="19"/>
                <w:szCs w:val="19"/>
                <w:lang w:val="en-GB"/>
              </w:rPr>
            </w:pPr>
            <w:r w:rsidRPr="00E925B1">
              <w:rPr>
                <w:sz w:val="19"/>
                <w:szCs w:val="19"/>
              </w:rPr>
              <w:t>57.75</w:t>
            </w:r>
          </w:p>
        </w:tc>
        <w:tc>
          <w:tcPr>
            <w:tcW w:w="1007" w:type="dxa"/>
          </w:tcPr>
          <w:p w14:paraId="3F6EB472" w14:textId="762DF342" w:rsidR="00424E56" w:rsidRPr="00E925B1" w:rsidRDefault="00424E56" w:rsidP="00424E56">
            <w:pPr>
              <w:pStyle w:val="Els-body-text"/>
              <w:rPr>
                <w:sz w:val="19"/>
                <w:szCs w:val="19"/>
                <w:lang w:val="en-GB"/>
              </w:rPr>
            </w:pPr>
            <w:r w:rsidRPr="00E925B1">
              <w:rPr>
                <w:sz w:val="19"/>
                <w:szCs w:val="19"/>
              </w:rPr>
              <w:t>67.9</w:t>
            </w:r>
            <w:r w:rsidR="00F07DBC" w:rsidRPr="00E925B1">
              <w:rPr>
                <w:sz w:val="19"/>
                <w:szCs w:val="19"/>
              </w:rPr>
              <w:t>0</w:t>
            </w:r>
          </w:p>
        </w:tc>
        <w:tc>
          <w:tcPr>
            <w:tcW w:w="968" w:type="dxa"/>
            <w:shd w:val="clear" w:color="auto" w:fill="D6E3BC" w:themeFill="accent3" w:themeFillTint="66"/>
          </w:tcPr>
          <w:p w14:paraId="150D4193" w14:textId="3B846231" w:rsidR="00424E56" w:rsidRPr="00E925B1" w:rsidRDefault="008851E8" w:rsidP="00424E56">
            <w:pPr>
              <w:pStyle w:val="Els-body-text"/>
              <w:rPr>
                <w:sz w:val="19"/>
                <w:szCs w:val="19"/>
                <w:lang w:val="en-GB"/>
              </w:rPr>
            </w:pPr>
            <w:r w:rsidRPr="00E925B1">
              <w:rPr>
                <w:sz w:val="19"/>
                <w:szCs w:val="19"/>
                <w:lang w:val="en-GB"/>
              </w:rPr>
              <w:t>Never</w:t>
            </w:r>
          </w:p>
        </w:tc>
      </w:tr>
      <w:tr w:rsidR="00E21AE1" w:rsidRPr="00E925B1" w14:paraId="3C3F7D1C" w14:textId="77777777" w:rsidTr="00DE4023">
        <w:tc>
          <w:tcPr>
            <w:tcW w:w="694" w:type="dxa"/>
          </w:tcPr>
          <w:p w14:paraId="6D5749B6" w14:textId="67DE1B93" w:rsidR="00424E56" w:rsidRPr="00E925B1" w:rsidRDefault="00424E56" w:rsidP="00424E56">
            <w:pPr>
              <w:pStyle w:val="Els-body-text"/>
              <w:rPr>
                <w:sz w:val="19"/>
                <w:szCs w:val="19"/>
                <w:lang w:val="en-GB"/>
              </w:rPr>
            </w:pPr>
            <w:r w:rsidRPr="00E925B1">
              <w:rPr>
                <w:sz w:val="19"/>
                <w:szCs w:val="19"/>
                <w:lang w:val="en-GB"/>
              </w:rPr>
              <w:t>CS3</w:t>
            </w:r>
          </w:p>
        </w:tc>
        <w:tc>
          <w:tcPr>
            <w:tcW w:w="687" w:type="dxa"/>
            <w:shd w:val="clear" w:color="auto" w:fill="D6E3BC" w:themeFill="accent3" w:themeFillTint="66"/>
          </w:tcPr>
          <w:p w14:paraId="48B3B404" w14:textId="6402138F" w:rsidR="00424E56" w:rsidRPr="00E925B1" w:rsidRDefault="00424E56" w:rsidP="00424E56">
            <w:pPr>
              <w:pStyle w:val="Els-body-text"/>
              <w:rPr>
                <w:sz w:val="19"/>
                <w:szCs w:val="19"/>
                <w:lang w:val="en-GB"/>
              </w:rPr>
            </w:pPr>
            <w:r w:rsidRPr="00E925B1">
              <w:rPr>
                <w:sz w:val="19"/>
                <w:szCs w:val="19"/>
                <w:lang w:val="en-GB"/>
              </w:rPr>
              <w:t>12.7</w:t>
            </w:r>
          </w:p>
        </w:tc>
        <w:tc>
          <w:tcPr>
            <w:tcW w:w="863" w:type="dxa"/>
          </w:tcPr>
          <w:p w14:paraId="16F6C322" w14:textId="140CFAB1" w:rsidR="005852B3" w:rsidRPr="00E925B1" w:rsidRDefault="001D7C74" w:rsidP="00424E56">
            <w:pPr>
              <w:pStyle w:val="Els-body-text"/>
              <w:rPr>
                <w:sz w:val="19"/>
                <w:szCs w:val="19"/>
                <w:lang w:val="en-GB"/>
              </w:rPr>
            </w:pPr>
            <w:r w:rsidRPr="005852B3">
              <w:rPr>
                <w:sz w:val="19"/>
                <w:szCs w:val="19"/>
                <w:lang w:val="en-GB"/>
              </w:rPr>
              <w:t>0.80</w:t>
            </w:r>
            <w:r w:rsidR="006A7662">
              <w:rPr>
                <w:sz w:val="19"/>
                <w:szCs w:val="19"/>
                <w:vertAlign w:val="superscript"/>
                <w:lang w:val="en-GB"/>
              </w:rPr>
              <w:t>1</w:t>
            </w:r>
          </w:p>
        </w:tc>
        <w:tc>
          <w:tcPr>
            <w:tcW w:w="1012" w:type="dxa"/>
          </w:tcPr>
          <w:p w14:paraId="310DE2AF" w14:textId="2F9723C4" w:rsidR="00424E56" w:rsidRPr="00E925B1" w:rsidRDefault="001D7C74" w:rsidP="00424E56">
            <w:pPr>
              <w:pStyle w:val="Els-body-text"/>
              <w:rPr>
                <w:sz w:val="19"/>
                <w:szCs w:val="19"/>
                <w:lang w:val="en-GB"/>
              </w:rPr>
            </w:pPr>
            <w:r w:rsidRPr="005852B3">
              <w:rPr>
                <w:sz w:val="19"/>
                <w:szCs w:val="19"/>
                <w:lang w:val="en-GB"/>
              </w:rPr>
              <w:t>3.50</w:t>
            </w:r>
            <w:r>
              <w:rPr>
                <w:sz w:val="19"/>
                <w:szCs w:val="19"/>
                <w:vertAlign w:val="superscript"/>
                <w:lang w:val="en-GB"/>
              </w:rPr>
              <w:t>1</w:t>
            </w:r>
          </w:p>
        </w:tc>
        <w:tc>
          <w:tcPr>
            <w:tcW w:w="992" w:type="dxa"/>
          </w:tcPr>
          <w:p w14:paraId="7CBE1642" w14:textId="3858DF12"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2368D525" w14:textId="492C0589" w:rsidR="00424E56" w:rsidRPr="00E925B1" w:rsidRDefault="00424E56" w:rsidP="00424E56">
            <w:pPr>
              <w:pStyle w:val="Els-body-text"/>
              <w:rPr>
                <w:sz w:val="19"/>
                <w:szCs w:val="19"/>
                <w:lang w:val="en-GB"/>
              </w:rPr>
            </w:pPr>
            <w:r w:rsidRPr="00E925B1">
              <w:rPr>
                <w:sz w:val="19"/>
                <w:szCs w:val="19"/>
              </w:rPr>
              <w:t>53.57</w:t>
            </w:r>
          </w:p>
        </w:tc>
        <w:tc>
          <w:tcPr>
            <w:tcW w:w="1007" w:type="dxa"/>
          </w:tcPr>
          <w:p w14:paraId="07C5A6F7" w14:textId="5BDA130D" w:rsidR="00424E56" w:rsidRPr="00E925B1" w:rsidRDefault="00424E56" w:rsidP="00424E56">
            <w:pPr>
              <w:pStyle w:val="Els-body-text"/>
              <w:rPr>
                <w:sz w:val="19"/>
                <w:szCs w:val="19"/>
                <w:lang w:val="en-GB"/>
              </w:rPr>
            </w:pPr>
            <w:r w:rsidRPr="00E925B1">
              <w:rPr>
                <w:sz w:val="19"/>
                <w:szCs w:val="19"/>
              </w:rPr>
              <w:t>67.9</w:t>
            </w:r>
            <w:r w:rsidR="00F07DBC" w:rsidRPr="00E925B1">
              <w:rPr>
                <w:sz w:val="19"/>
                <w:szCs w:val="19"/>
              </w:rPr>
              <w:t>0</w:t>
            </w:r>
          </w:p>
        </w:tc>
        <w:tc>
          <w:tcPr>
            <w:tcW w:w="968" w:type="dxa"/>
            <w:shd w:val="clear" w:color="auto" w:fill="D6E3BC" w:themeFill="accent3" w:themeFillTint="66"/>
          </w:tcPr>
          <w:p w14:paraId="44A2FFE3" w14:textId="03AABFAC" w:rsidR="00424E56" w:rsidRPr="00E925B1" w:rsidRDefault="008851E8" w:rsidP="00424E56">
            <w:pPr>
              <w:pStyle w:val="Els-body-text"/>
              <w:rPr>
                <w:sz w:val="19"/>
                <w:szCs w:val="19"/>
                <w:lang w:val="en-GB"/>
              </w:rPr>
            </w:pPr>
            <w:r w:rsidRPr="00E925B1">
              <w:rPr>
                <w:sz w:val="19"/>
                <w:szCs w:val="19"/>
                <w:lang w:val="en-GB"/>
              </w:rPr>
              <w:t>17</w:t>
            </w:r>
          </w:p>
        </w:tc>
      </w:tr>
      <w:tr w:rsidR="00E21AE1" w:rsidRPr="00E925B1" w14:paraId="78E0A1CC" w14:textId="77777777" w:rsidTr="00DE4023">
        <w:tc>
          <w:tcPr>
            <w:tcW w:w="694" w:type="dxa"/>
          </w:tcPr>
          <w:p w14:paraId="6AAF663F" w14:textId="0850E2F4" w:rsidR="00424E56" w:rsidRPr="00E925B1" w:rsidRDefault="00424E56" w:rsidP="00424E56">
            <w:pPr>
              <w:pStyle w:val="Els-body-text"/>
              <w:rPr>
                <w:sz w:val="19"/>
                <w:szCs w:val="19"/>
                <w:lang w:val="en-GB"/>
              </w:rPr>
            </w:pPr>
            <w:r w:rsidRPr="00E925B1">
              <w:rPr>
                <w:sz w:val="19"/>
                <w:szCs w:val="19"/>
                <w:lang w:val="en-GB"/>
              </w:rPr>
              <w:t>CS4</w:t>
            </w:r>
          </w:p>
        </w:tc>
        <w:tc>
          <w:tcPr>
            <w:tcW w:w="687" w:type="dxa"/>
            <w:shd w:val="clear" w:color="auto" w:fill="D6E3BC" w:themeFill="accent3" w:themeFillTint="66"/>
          </w:tcPr>
          <w:p w14:paraId="65F27F3D" w14:textId="6DE4A2B3" w:rsidR="00424E56" w:rsidRPr="00E925B1" w:rsidRDefault="00424E56" w:rsidP="00424E56">
            <w:pPr>
              <w:pStyle w:val="Els-body-text"/>
              <w:rPr>
                <w:sz w:val="19"/>
                <w:szCs w:val="19"/>
                <w:lang w:val="en-GB"/>
              </w:rPr>
            </w:pPr>
            <w:r w:rsidRPr="00E925B1">
              <w:rPr>
                <w:sz w:val="19"/>
                <w:szCs w:val="19"/>
                <w:lang w:val="en-GB"/>
              </w:rPr>
              <w:t>3.50</w:t>
            </w:r>
          </w:p>
        </w:tc>
        <w:tc>
          <w:tcPr>
            <w:tcW w:w="863" w:type="dxa"/>
          </w:tcPr>
          <w:p w14:paraId="1E14C342" w14:textId="50FA0422" w:rsidR="005852B3" w:rsidRPr="00E925B1" w:rsidRDefault="001D7C74" w:rsidP="00424E56">
            <w:pPr>
              <w:pStyle w:val="Els-body-text"/>
              <w:rPr>
                <w:sz w:val="19"/>
                <w:szCs w:val="19"/>
                <w:lang w:val="en-GB"/>
              </w:rPr>
            </w:pPr>
            <w:r w:rsidRPr="005852B3">
              <w:rPr>
                <w:sz w:val="19"/>
                <w:szCs w:val="19"/>
                <w:lang w:val="en-GB"/>
              </w:rPr>
              <w:t>0.80</w:t>
            </w:r>
            <w:r w:rsidR="006A7662">
              <w:rPr>
                <w:sz w:val="19"/>
                <w:szCs w:val="19"/>
                <w:vertAlign w:val="superscript"/>
                <w:lang w:val="en-GB"/>
              </w:rPr>
              <w:t>1</w:t>
            </w:r>
          </w:p>
        </w:tc>
        <w:tc>
          <w:tcPr>
            <w:tcW w:w="1012" w:type="dxa"/>
          </w:tcPr>
          <w:p w14:paraId="230826C5" w14:textId="4D59C7CC" w:rsidR="00424E56" w:rsidRPr="00E925B1" w:rsidRDefault="001D7C74" w:rsidP="00424E56">
            <w:pPr>
              <w:pStyle w:val="Els-body-text"/>
              <w:rPr>
                <w:sz w:val="19"/>
                <w:szCs w:val="19"/>
                <w:lang w:val="en-GB"/>
              </w:rPr>
            </w:pPr>
            <w:r w:rsidRPr="005852B3">
              <w:rPr>
                <w:sz w:val="19"/>
                <w:szCs w:val="19"/>
                <w:lang w:val="en-GB"/>
              </w:rPr>
              <w:t>3.50</w:t>
            </w:r>
            <w:r>
              <w:rPr>
                <w:sz w:val="19"/>
                <w:szCs w:val="19"/>
                <w:vertAlign w:val="superscript"/>
                <w:lang w:val="en-GB"/>
              </w:rPr>
              <w:t>1</w:t>
            </w:r>
          </w:p>
        </w:tc>
        <w:tc>
          <w:tcPr>
            <w:tcW w:w="992" w:type="dxa"/>
          </w:tcPr>
          <w:p w14:paraId="0AC424B8" w14:textId="44728D0E"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21C14F75" w14:textId="38DD3C80" w:rsidR="00424E56" w:rsidRPr="00E925B1" w:rsidRDefault="00424E56" w:rsidP="00424E56">
            <w:pPr>
              <w:pStyle w:val="Els-body-text"/>
              <w:rPr>
                <w:sz w:val="19"/>
                <w:szCs w:val="19"/>
                <w:lang w:val="en-GB"/>
              </w:rPr>
            </w:pPr>
            <w:r w:rsidRPr="00E925B1">
              <w:rPr>
                <w:sz w:val="19"/>
                <w:szCs w:val="19"/>
              </w:rPr>
              <w:t>62.08</w:t>
            </w:r>
          </w:p>
        </w:tc>
        <w:tc>
          <w:tcPr>
            <w:tcW w:w="1007" w:type="dxa"/>
          </w:tcPr>
          <w:p w14:paraId="10120037" w14:textId="5819BF19" w:rsidR="00424E56" w:rsidRPr="00E925B1" w:rsidRDefault="00424E56" w:rsidP="00424E56">
            <w:pPr>
              <w:pStyle w:val="Els-body-text"/>
              <w:rPr>
                <w:sz w:val="19"/>
                <w:szCs w:val="19"/>
                <w:lang w:val="en-GB"/>
              </w:rPr>
            </w:pPr>
            <w:r w:rsidRPr="00E925B1">
              <w:rPr>
                <w:sz w:val="19"/>
                <w:szCs w:val="19"/>
              </w:rPr>
              <w:t>67.9</w:t>
            </w:r>
            <w:r w:rsidR="00F07DBC" w:rsidRPr="00E925B1">
              <w:rPr>
                <w:sz w:val="19"/>
                <w:szCs w:val="19"/>
              </w:rPr>
              <w:t>0</w:t>
            </w:r>
          </w:p>
        </w:tc>
        <w:tc>
          <w:tcPr>
            <w:tcW w:w="968" w:type="dxa"/>
            <w:shd w:val="clear" w:color="auto" w:fill="D6E3BC" w:themeFill="accent3" w:themeFillTint="66"/>
          </w:tcPr>
          <w:p w14:paraId="1D9F071D" w14:textId="44134FF0" w:rsidR="00424E56" w:rsidRPr="00E925B1" w:rsidRDefault="008851E8" w:rsidP="00424E56">
            <w:pPr>
              <w:pStyle w:val="Els-body-text"/>
              <w:rPr>
                <w:sz w:val="19"/>
                <w:szCs w:val="19"/>
                <w:lang w:val="en-GB"/>
              </w:rPr>
            </w:pPr>
            <w:r w:rsidRPr="00E925B1">
              <w:rPr>
                <w:sz w:val="19"/>
                <w:szCs w:val="19"/>
                <w:lang w:val="en-GB"/>
              </w:rPr>
              <w:t>Never</w:t>
            </w:r>
          </w:p>
        </w:tc>
      </w:tr>
      <w:tr w:rsidR="00E21AE1" w:rsidRPr="00E925B1" w14:paraId="7A2A0881" w14:textId="77777777" w:rsidTr="00DE4023">
        <w:tc>
          <w:tcPr>
            <w:tcW w:w="694" w:type="dxa"/>
          </w:tcPr>
          <w:p w14:paraId="5CAC0D23" w14:textId="48361E33" w:rsidR="00424E56" w:rsidRPr="00E925B1" w:rsidRDefault="00424E56" w:rsidP="00424E56">
            <w:pPr>
              <w:pStyle w:val="Els-body-text"/>
              <w:rPr>
                <w:sz w:val="19"/>
                <w:szCs w:val="19"/>
                <w:lang w:val="en-GB"/>
              </w:rPr>
            </w:pPr>
            <w:r w:rsidRPr="00E925B1">
              <w:rPr>
                <w:sz w:val="19"/>
                <w:szCs w:val="19"/>
                <w:lang w:val="en-GB"/>
              </w:rPr>
              <w:t>CS5</w:t>
            </w:r>
          </w:p>
        </w:tc>
        <w:tc>
          <w:tcPr>
            <w:tcW w:w="687" w:type="dxa"/>
            <w:shd w:val="clear" w:color="auto" w:fill="D6E3BC" w:themeFill="accent3" w:themeFillTint="66"/>
          </w:tcPr>
          <w:p w14:paraId="4F80E5A2" w14:textId="48D59B6A" w:rsidR="00424E56" w:rsidRPr="00E925B1" w:rsidRDefault="00424E56" w:rsidP="00424E56">
            <w:pPr>
              <w:pStyle w:val="Els-body-text"/>
              <w:rPr>
                <w:sz w:val="19"/>
                <w:szCs w:val="19"/>
                <w:lang w:val="en-GB"/>
              </w:rPr>
            </w:pPr>
            <w:r w:rsidRPr="00E925B1">
              <w:rPr>
                <w:sz w:val="19"/>
                <w:szCs w:val="19"/>
                <w:lang w:val="en-GB"/>
              </w:rPr>
              <w:t>4.40</w:t>
            </w:r>
          </w:p>
        </w:tc>
        <w:tc>
          <w:tcPr>
            <w:tcW w:w="863" w:type="dxa"/>
          </w:tcPr>
          <w:p w14:paraId="783282E5" w14:textId="227D7028" w:rsidR="005852B3" w:rsidRPr="00E925B1" w:rsidRDefault="001D7C74" w:rsidP="00424E56">
            <w:pPr>
              <w:pStyle w:val="Els-body-text"/>
              <w:rPr>
                <w:sz w:val="19"/>
                <w:szCs w:val="19"/>
                <w:lang w:val="en-GB"/>
              </w:rPr>
            </w:pPr>
            <w:r w:rsidRPr="005852B3">
              <w:rPr>
                <w:sz w:val="19"/>
                <w:szCs w:val="19"/>
                <w:lang w:val="en-GB"/>
              </w:rPr>
              <w:t>0.80</w:t>
            </w:r>
            <w:r w:rsidR="006A7662">
              <w:rPr>
                <w:sz w:val="19"/>
                <w:szCs w:val="19"/>
                <w:vertAlign w:val="superscript"/>
                <w:lang w:val="en-GB"/>
              </w:rPr>
              <w:t>1</w:t>
            </w:r>
          </w:p>
        </w:tc>
        <w:tc>
          <w:tcPr>
            <w:tcW w:w="1012" w:type="dxa"/>
          </w:tcPr>
          <w:p w14:paraId="1EF6639A" w14:textId="68CE339C" w:rsidR="00424E56" w:rsidRPr="00E925B1" w:rsidRDefault="001D7C74" w:rsidP="00424E56">
            <w:pPr>
              <w:pStyle w:val="Els-body-text"/>
              <w:rPr>
                <w:sz w:val="19"/>
                <w:szCs w:val="19"/>
                <w:lang w:val="en-GB"/>
              </w:rPr>
            </w:pPr>
            <w:r w:rsidRPr="005852B3">
              <w:rPr>
                <w:sz w:val="19"/>
                <w:szCs w:val="19"/>
                <w:lang w:val="en-GB"/>
              </w:rPr>
              <w:t>7.25</w:t>
            </w:r>
            <w:r>
              <w:rPr>
                <w:sz w:val="19"/>
                <w:szCs w:val="19"/>
                <w:vertAlign w:val="superscript"/>
                <w:lang w:val="en-GB"/>
              </w:rPr>
              <w:t>1</w:t>
            </w:r>
          </w:p>
        </w:tc>
        <w:tc>
          <w:tcPr>
            <w:tcW w:w="992" w:type="dxa"/>
          </w:tcPr>
          <w:p w14:paraId="6D57C610" w14:textId="799A31EB"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5B5639B7" w14:textId="1A66CB46" w:rsidR="00424E56" w:rsidRPr="00E925B1" w:rsidRDefault="00424E56" w:rsidP="00424E56">
            <w:pPr>
              <w:pStyle w:val="Els-body-text"/>
              <w:rPr>
                <w:sz w:val="19"/>
                <w:szCs w:val="19"/>
                <w:lang w:val="en-GB"/>
              </w:rPr>
            </w:pPr>
            <w:r w:rsidRPr="00E925B1">
              <w:rPr>
                <w:sz w:val="19"/>
                <w:szCs w:val="19"/>
              </w:rPr>
              <w:t>61.45</w:t>
            </w:r>
          </w:p>
        </w:tc>
        <w:tc>
          <w:tcPr>
            <w:tcW w:w="1007" w:type="dxa"/>
          </w:tcPr>
          <w:p w14:paraId="15F0FC85" w14:textId="6EC51911" w:rsidR="00424E56" w:rsidRPr="00E925B1" w:rsidRDefault="00424E56" w:rsidP="00424E56">
            <w:pPr>
              <w:pStyle w:val="Els-body-text"/>
              <w:rPr>
                <w:sz w:val="19"/>
                <w:szCs w:val="19"/>
                <w:lang w:val="en-GB"/>
              </w:rPr>
            </w:pPr>
            <w:r w:rsidRPr="00E925B1">
              <w:rPr>
                <w:sz w:val="19"/>
                <w:szCs w:val="19"/>
              </w:rPr>
              <w:t>67.9</w:t>
            </w:r>
            <w:r w:rsidR="00F07DBC" w:rsidRPr="00E925B1">
              <w:rPr>
                <w:sz w:val="19"/>
                <w:szCs w:val="19"/>
              </w:rPr>
              <w:t>0</w:t>
            </w:r>
          </w:p>
        </w:tc>
        <w:tc>
          <w:tcPr>
            <w:tcW w:w="968" w:type="dxa"/>
            <w:shd w:val="clear" w:color="auto" w:fill="D6E3BC" w:themeFill="accent3" w:themeFillTint="66"/>
          </w:tcPr>
          <w:p w14:paraId="59144864" w14:textId="4D0DF8A1" w:rsidR="00424E56" w:rsidRPr="00E925B1" w:rsidRDefault="008851E8" w:rsidP="00424E56">
            <w:pPr>
              <w:pStyle w:val="Els-body-text"/>
              <w:rPr>
                <w:sz w:val="19"/>
                <w:szCs w:val="19"/>
                <w:lang w:val="en-GB"/>
              </w:rPr>
            </w:pPr>
            <w:r w:rsidRPr="00E925B1">
              <w:rPr>
                <w:sz w:val="19"/>
                <w:szCs w:val="19"/>
                <w:lang w:val="en-GB"/>
              </w:rPr>
              <w:t>Never</w:t>
            </w:r>
          </w:p>
        </w:tc>
      </w:tr>
      <w:tr w:rsidR="00296CBD" w:rsidRPr="00E925B1" w14:paraId="64EED3F4" w14:textId="77777777" w:rsidTr="006A7662">
        <w:tc>
          <w:tcPr>
            <w:tcW w:w="694" w:type="dxa"/>
          </w:tcPr>
          <w:p w14:paraId="39953772" w14:textId="65CE7878" w:rsidR="00424E56" w:rsidRPr="00E925B1" w:rsidRDefault="00424E56" w:rsidP="00424E56">
            <w:pPr>
              <w:pStyle w:val="Els-body-text"/>
              <w:rPr>
                <w:sz w:val="19"/>
                <w:szCs w:val="19"/>
                <w:lang w:val="en-GB"/>
              </w:rPr>
            </w:pPr>
            <w:r w:rsidRPr="00E925B1">
              <w:rPr>
                <w:sz w:val="19"/>
                <w:szCs w:val="19"/>
                <w:lang w:val="en-GB"/>
              </w:rPr>
              <w:t>CS6</w:t>
            </w:r>
          </w:p>
        </w:tc>
        <w:tc>
          <w:tcPr>
            <w:tcW w:w="687" w:type="dxa"/>
          </w:tcPr>
          <w:p w14:paraId="2C7CF08C" w14:textId="75718307" w:rsidR="00424E56" w:rsidRPr="00E925B1" w:rsidRDefault="00424E56" w:rsidP="00424E56">
            <w:pPr>
              <w:pStyle w:val="Els-body-text"/>
              <w:rPr>
                <w:sz w:val="19"/>
                <w:szCs w:val="19"/>
                <w:lang w:val="en-GB"/>
              </w:rPr>
            </w:pPr>
            <w:r w:rsidRPr="00E925B1">
              <w:rPr>
                <w:sz w:val="19"/>
                <w:szCs w:val="19"/>
                <w:lang w:val="en-GB"/>
              </w:rPr>
              <w:t>12</w:t>
            </w:r>
            <w:r w:rsidR="00466855" w:rsidRPr="00E925B1">
              <w:rPr>
                <w:sz w:val="19"/>
                <w:szCs w:val="19"/>
                <w:lang w:val="en-GB"/>
              </w:rPr>
              <w:t>.0</w:t>
            </w:r>
          </w:p>
        </w:tc>
        <w:tc>
          <w:tcPr>
            <w:tcW w:w="863" w:type="dxa"/>
            <w:shd w:val="clear" w:color="auto" w:fill="FBD4B4" w:themeFill="accent6" w:themeFillTint="66"/>
          </w:tcPr>
          <w:p w14:paraId="1B4A3D76" w14:textId="24480FD1" w:rsidR="005852B3" w:rsidRPr="00E925B1" w:rsidRDefault="001D7C74" w:rsidP="00424E56">
            <w:pPr>
              <w:pStyle w:val="Els-body-text"/>
              <w:rPr>
                <w:sz w:val="19"/>
                <w:szCs w:val="19"/>
                <w:lang w:val="en-GB"/>
              </w:rPr>
            </w:pPr>
            <w:r w:rsidRPr="001D7C74">
              <w:rPr>
                <w:sz w:val="19"/>
                <w:szCs w:val="19"/>
                <w:lang w:val="en-GB"/>
              </w:rPr>
              <w:t>1.06</w:t>
            </w:r>
          </w:p>
        </w:tc>
        <w:tc>
          <w:tcPr>
            <w:tcW w:w="1012" w:type="dxa"/>
            <w:shd w:val="clear" w:color="auto" w:fill="auto"/>
          </w:tcPr>
          <w:p w14:paraId="5025066C" w14:textId="52DDB998" w:rsidR="00424E56" w:rsidRPr="001D7C74" w:rsidRDefault="001D7C74" w:rsidP="00424E56">
            <w:pPr>
              <w:pStyle w:val="Els-body-text"/>
              <w:rPr>
                <w:sz w:val="19"/>
                <w:szCs w:val="19"/>
              </w:rPr>
            </w:pPr>
            <w:r w:rsidRPr="001D7C74">
              <w:rPr>
                <w:sz w:val="19"/>
                <w:szCs w:val="19"/>
              </w:rPr>
              <w:t>7.25</w:t>
            </w:r>
          </w:p>
        </w:tc>
        <w:tc>
          <w:tcPr>
            <w:tcW w:w="992" w:type="dxa"/>
          </w:tcPr>
          <w:p w14:paraId="377435BA" w14:textId="2B79EA6D"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003DE7E8" w14:textId="74910EEC" w:rsidR="00424E56" w:rsidRPr="00E925B1" w:rsidRDefault="00424E56" w:rsidP="00424E56">
            <w:pPr>
              <w:pStyle w:val="Els-body-text"/>
              <w:rPr>
                <w:sz w:val="19"/>
                <w:szCs w:val="19"/>
                <w:lang w:val="en-GB"/>
              </w:rPr>
            </w:pPr>
            <w:r w:rsidRPr="00E925B1">
              <w:rPr>
                <w:sz w:val="19"/>
                <w:szCs w:val="19"/>
              </w:rPr>
              <w:t>61.45</w:t>
            </w:r>
          </w:p>
        </w:tc>
        <w:tc>
          <w:tcPr>
            <w:tcW w:w="1007" w:type="dxa"/>
          </w:tcPr>
          <w:p w14:paraId="61F65FC2" w14:textId="46B77410" w:rsidR="00424E56" w:rsidRPr="00E925B1" w:rsidRDefault="00424E56" w:rsidP="00424E56">
            <w:pPr>
              <w:pStyle w:val="Els-body-text"/>
              <w:rPr>
                <w:sz w:val="19"/>
                <w:szCs w:val="19"/>
                <w:lang w:val="en-GB"/>
              </w:rPr>
            </w:pPr>
            <w:r w:rsidRPr="00E925B1">
              <w:rPr>
                <w:sz w:val="19"/>
                <w:szCs w:val="19"/>
              </w:rPr>
              <w:t>75.15</w:t>
            </w:r>
          </w:p>
        </w:tc>
        <w:tc>
          <w:tcPr>
            <w:tcW w:w="968" w:type="dxa"/>
          </w:tcPr>
          <w:p w14:paraId="43C48353" w14:textId="7A21D844" w:rsidR="00424E56" w:rsidRPr="00E925B1" w:rsidRDefault="008851E8" w:rsidP="00424E56">
            <w:pPr>
              <w:pStyle w:val="Els-body-text"/>
              <w:rPr>
                <w:sz w:val="19"/>
                <w:szCs w:val="19"/>
                <w:lang w:val="en-GB"/>
              </w:rPr>
            </w:pPr>
            <w:r w:rsidRPr="00E925B1">
              <w:rPr>
                <w:sz w:val="19"/>
                <w:szCs w:val="19"/>
                <w:lang w:val="en-GB"/>
              </w:rPr>
              <w:t>20 (fixed)</w:t>
            </w:r>
          </w:p>
        </w:tc>
      </w:tr>
      <w:tr w:rsidR="00296CBD" w:rsidRPr="00E925B1" w14:paraId="61494337" w14:textId="77777777" w:rsidTr="006A7662">
        <w:tc>
          <w:tcPr>
            <w:tcW w:w="694" w:type="dxa"/>
          </w:tcPr>
          <w:p w14:paraId="39461873" w14:textId="50BE55E4" w:rsidR="00424E56" w:rsidRPr="00E925B1" w:rsidRDefault="00424E56" w:rsidP="00424E56">
            <w:pPr>
              <w:pStyle w:val="Els-body-text"/>
              <w:rPr>
                <w:sz w:val="19"/>
                <w:szCs w:val="19"/>
                <w:lang w:val="en-GB"/>
              </w:rPr>
            </w:pPr>
            <w:r w:rsidRPr="00E925B1">
              <w:rPr>
                <w:sz w:val="19"/>
                <w:szCs w:val="19"/>
                <w:lang w:val="en-GB"/>
              </w:rPr>
              <w:t>CS7</w:t>
            </w:r>
          </w:p>
        </w:tc>
        <w:tc>
          <w:tcPr>
            <w:tcW w:w="687" w:type="dxa"/>
          </w:tcPr>
          <w:p w14:paraId="5124C154" w14:textId="14E2D264" w:rsidR="00424E56" w:rsidRPr="00E925B1" w:rsidRDefault="00424E56" w:rsidP="00424E56">
            <w:pPr>
              <w:pStyle w:val="Els-body-text"/>
              <w:rPr>
                <w:sz w:val="19"/>
                <w:szCs w:val="19"/>
                <w:lang w:val="en-GB"/>
              </w:rPr>
            </w:pPr>
            <w:r w:rsidRPr="00E925B1">
              <w:rPr>
                <w:sz w:val="19"/>
                <w:szCs w:val="19"/>
                <w:lang w:val="en-GB"/>
              </w:rPr>
              <w:t>12</w:t>
            </w:r>
            <w:r w:rsidR="00466855" w:rsidRPr="00E925B1">
              <w:rPr>
                <w:sz w:val="19"/>
                <w:szCs w:val="19"/>
                <w:lang w:val="en-GB"/>
              </w:rPr>
              <w:t>.0</w:t>
            </w:r>
          </w:p>
        </w:tc>
        <w:tc>
          <w:tcPr>
            <w:tcW w:w="863" w:type="dxa"/>
            <w:shd w:val="clear" w:color="auto" w:fill="FBD4B4" w:themeFill="accent6" w:themeFillTint="66"/>
          </w:tcPr>
          <w:p w14:paraId="593E3C5C" w14:textId="7F5444D0" w:rsidR="005852B3" w:rsidRPr="00E925B1" w:rsidRDefault="001D7C74" w:rsidP="00424E56">
            <w:pPr>
              <w:pStyle w:val="Els-body-text"/>
              <w:rPr>
                <w:sz w:val="19"/>
                <w:szCs w:val="19"/>
                <w:lang w:val="en-GB"/>
              </w:rPr>
            </w:pPr>
            <w:r w:rsidRPr="001D7C74">
              <w:rPr>
                <w:sz w:val="19"/>
                <w:szCs w:val="19"/>
                <w:lang w:val="en-GB"/>
              </w:rPr>
              <w:t>0.77</w:t>
            </w:r>
          </w:p>
        </w:tc>
        <w:tc>
          <w:tcPr>
            <w:tcW w:w="1012" w:type="dxa"/>
            <w:shd w:val="clear" w:color="auto" w:fill="auto"/>
          </w:tcPr>
          <w:p w14:paraId="0A198D49" w14:textId="53FAE63D" w:rsidR="00424E56" w:rsidRPr="00E925B1" w:rsidRDefault="001D7C74" w:rsidP="00424E56">
            <w:pPr>
              <w:pStyle w:val="Els-body-text"/>
              <w:rPr>
                <w:sz w:val="19"/>
                <w:szCs w:val="19"/>
                <w:lang w:val="en-GB"/>
              </w:rPr>
            </w:pPr>
            <w:r w:rsidRPr="001D7C74">
              <w:rPr>
                <w:sz w:val="19"/>
                <w:szCs w:val="19"/>
                <w:lang w:val="en-GB"/>
              </w:rPr>
              <w:t>3.50</w:t>
            </w:r>
          </w:p>
        </w:tc>
        <w:tc>
          <w:tcPr>
            <w:tcW w:w="992" w:type="dxa"/>
          </w:tcPr>
          <w:p w14:paraId="114DCDDD" w14:textId="7F231A5B"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70DF4E6E" w14:textId="7BF67369" w:rsidR="00424E56" w:rsidRPr="00E925B1" w:rsidRDefault="00424E56" w:rsidP="00424E56">
            <w:pPr>
              <w:pStyle w:val="Els-body-text"/>
              <w:rPr>
                <w:sz w:val="19"/>
                <w:szCs w:val="19"/>
                <w:lang w:val="en-GB"/>
              </w:rPr>
            </w:pPr>
            <w:r w:rsidRPr="00E925B1">
              <w:rPr>
                <w:sz w:val="19"/>
                <w:szCs w:val="19"/>
              </w:rPr>
              <w:t>61.45</w:t>
            </w:r>
          </w:p>
        </w:tc>
        <w:tc>
          <w:tcPr>
            <w:tcW w:w="1007" w:type="dxa"/>
          </w:tcPr>
          <w:p w14:paraId="41D0C62D" w14:textId="06EC62FB" w:rsidR="00424E56" w:rsidRPr="00E925B1" w:rsidRDefault="00424E56" w:rsidP="00424E56">
            <w:pPr>
              <w:pStyle w:val="Els-body-text"/>
              <w:rPr>
                <w:sz w:val="19"/>
                <w:szCs w:val="19"/>
                <w:lang w:val="en-GB"/>
              </w:rPr>
            </w:pPr>
            <w:r w:rsidRPr="00E925B1">
              <w:rPr>
                <w:sz w:val="19"/>
                <w:szCs w:val="19"/>
              </w:rPr>
              <w:t>67.14</w:t>
            </w:r>
          </w:p>
        </w:tc>
        <w:tc>
          <w:tcPr>
            <w:tcW w:w="968" w:type="dxa"/>
          </w:tcPr>
          <w:p w14:paraId="014F7BB3" w14:textId="7F6A68AC" w:rsidR="00424E56" w:rsidRPr="00E925B1" w:rsidRDefault="008851E8" w:rsidP="00424E56">
            <w:pPr>
              <w:pStyle w:val="Els-body-text"/>
              <w:rPr>
                <w:sz w:val="19"/>
                <w:szCs w:val="19"/>
                <w:lang w:val="en-GB"/>
              </w:rPr>
            </w:pPr>
            <w:r w:rsidRPr="00E925B1">
              <w:rPr>
                <w:sz w:val="19"/>
                <w:szCs w:val="19"/>
                <w:lang w:val="en-GB"/>
              </w:rPr>
              <w:t>20 (fixed)</w:t>
            </w:r>
          </w:p>
        </w:tc>
      </w:tr>
      <w:tr w:rsidR="00296CBD" w:rsidRPr="00E925B1" w14:paraId="44210492" w14:textId="77777777" w:rsidTr="006A7662">
        <w:tc>
          <w:tcPr>
            <w:tcW w:w="694" w:type="dxa"/>
          </w:tcPr>
          <w:p w14:paraId="5FF305AF" w14:textId="4D17CB61" w:rsidR="00424E56" w:rsidRPr="00E925B1" w:rsidRDefault="00424E56" w:rsidP="00424E56">
            <w:pPr>
              <w:pStyle w:val="Els-body-text"/>
              <w:rPr>
                <w:sz w:val="19"/>
                <w:szCs w:val="19"/>
                <w:lang w:val="en-GB"/>
              </w:rPr>
            </w:pPr>
            <w:r w:rsidRPr="00E925B1">
              <w:rPr>
                <w:sz w:val="19"/>
                <w:szCs w:val="19"/>
                <w:lang w:val="en-GB"/>
              </w:rPr>
              <w:t>CS8</w:t>
            </w:r>
          </w:p>
        </w:tc>
        <w:tc>
          <w:tcPr>
            <w:tcW w:w="687" w:type="dxa"/>
          </w:tcPr>
          <w:p w14:paraId="092DFABF" w14:textId="4404B414" w:rsidR="00424E56" w:rsidRPr="00E925B1" w:rsidRDefault="00424E56" w:rsidP="00424E56">
            <w:pPr>
              <w:pStyle w:val="Els-body-text"/>
              <w:rPr>
                <w:sz w:val="19"/>
                <w:szCs w:val="19"/>
                <w:lang w:val="en-GB"/>
              </w:rPr>
            </w:pPr>
            <w:r w:rsidRPr="00E925B1">
              <w:rPr>
                <w:sz w:val="19"/>
                <w:szCs w:val="19"/>
                <w:lang w:val="en-GB"/>
              </w:rPr>
              <w:t>12</w:t>
            </w:r>
            <w:r w:rsidR="00466855" w:rsidRPr="00E925B1">
              <w:rPr>
                <w:sz w:val="19"/>
                <w:szCs w:val="19"/>
                <w:lang w:val="en-GB"/>
              </w:rPr>
              <w:t>.</w:t>
            </w:r>
            <w:r w:rsidR="00D71FC7" w:rsidRPr="00E925B1">
              <w:rPr>
                <w:sz w:val="19"/>
                <w:szCs w:val="19"/>
                <w:lang w:val="en-GB"/>
              </w:rPr>
              <w:t>0</w:t>
            </w:r>
          </w:p>
        </w:tc>
        <w:tc>
          <w:tcPr>
            <w:tcW w:w="863" w:type="dxa"/>
            <w:shd w:val="clear" w:color="auto" w:fill="FBD4B4" w:themeFill="accent6" w:themeFillTint="66"/>
          </w:tcPr>
          <w:p w14:paraId="32239241" w14:textId="6B695828" w:rsidR="005852B3" w:rsidRPr="005852B3" w:rsidRDefault="005852B3" w:rsidP="00424E56">
            <w:pPr>
              <w:pStyle w:val="Els-body-text"/>
              <w:rPr>
                <w:sz w:val="19"/>
                <w:szCs w:val="19"/>
                <w:lang w:val="en-GB"/>
              </w:rPr>
            </w:pPr>
            <w:r w:rsidRPr="005852B3">
              <w:rPr>
                <w:sz w:val="19"/>
                <w:szCs w:val="19"/>
                <w:lang w:val="en-GB"/>
              </w:rPr>
              <w:t>0.</w:t>
            </w:r>
            <w:r w:rsidR="001D7C74" w:rsidRPr="0093348A">
              <w:rPr>
                <w:sz w:val="19"/>
                <w:szCs w:val="19"/>
                <w:lang w:val="en-GB"/>
              </w:rPr>
              <w:t>62</w:t>
            </w:r>
          </w:p>
        </w:tc>
        <w:tc>
          <w:tcPr>
            <w:tcW w:w="1012" w:type="dxa"/>
            <w:shd w:val="clear" w:color="auto" w:fill="auto"/>
          </w:tcPr>
          <w:p w14:paraId="43F921A4" w14:textId="1FE41872" w:rsidR="00424E56" w:rsidRPr="00E925B1" w:rsidRDefault="005852B3" w:rsidP="00424E56">
            <w:pPr>
              <w:pStyle w:val="Els-body-text"/>
              <w:rPr>
                <w:sz w:val="19"/>
                <w:szCs w:val="19"/>
                <w:lang w:val="en-GB"/>
              </w:rPr>
            </w:pPr>
            <w:r w:rsidRPr="005852B3">
              <w:rPr>
                <w:sz w:val="19"/>
                <w:szCs w:val="19"/>
                <w:lang w:val="en-GB"/>
              </w:rPr>
              <w:t>1.</w:t>
            </w:r>
            <w:r w:rsidR="001D7C74" w:rsidRPr="001D7C74">
              <w:rPr>
                <w:sz w:val="19"/>
                <w:szCs w:val="19"/>
                <w:lang w:val="en-GB"/>
              </w:rPr>
              <w:t>50</w:t>
            </w:r>
          </w:p>
        </w:tc>
        <w:tc>
          <w:tcPr>
            <w:tcW w:w="992" w:type="dxa"/>
          </w:tcPr>
          <w:p w14:paraId="478C6985" w14:textId="00B70F32"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70B8DE18" w14:textId="38B670C4" w:rsidR="00424E56" w:rsidRPr="00E925B1" w:rsidRDefault="00424E56" w:rsidP="00424E56">
            <w:pPr>
              <w:pStyle w:val="Els-body-text"/>
              <w:rPr>
                <w:sz w:val="19"/>
                <w:szCs w:val="19"/>
                <w:lang w:val="en-GB"/>
              </w:rPr>
            </w:pPr>
            <w:r w:rsidRPr="00E925B1">
              <w:rPr>
                <w:sz w:val="19"/>
                <w:szCs w:val="19"/>
              </w:rPr>
              <w:t>61.45</w:t>
            </w:r>
          </w:p>
        </w:tc>
        <w:tc>
          <w:tcPr>
            <w:tcW w:w="1007" w:type="dxa"/>
          </w:tcPr>
          <w:p w14:paraId="7F2D2332" w14:textId="359DF081" w:rsidR="00424E56" w:rsidRPr="00E925B1" w:rsidRDefault="00424E56" w:rsidP="00424E56">
            <w:pPr>
              <w:pStyle w:val="Els-body-text"/>
              <w:rPr>
                <w:sz w:val="19"/>
                <w:szCs w:val="19"/>
                <w:lang w:val="en-GB"/>
              </w:rPr>
            </w:pPr>
            <w:r w:rsidRPr="00E925B1">
              <w:rPr>
                <w:sz w:val="19"/>
                <w:szCs w:val="19"/>
              </w:rPr>
              <w:t>62.81</w:t>
            </w:r>
          </w:p>
        </w:tc>
        <w:tc>
          <w:tcPr>
            <w:tcW w:w="968" w:type="dxa"/>
          </w:tcPr>
          <w:p w14:paraId="01AC2556" w14:textId="303E93B5" w:rsidR="00424E56" w:rsidRPr="00E925B1" w:rsidRDefault="008851E8" w:rsidP="00424E56">
            <w:pPr>
              <w:pStyle w:val="Els-body-text"/>
              <w:rPr>
                <w:sz w:val="19"/>
                <w:szCs w:val="19"/>
                <w:lang w:val="en-GB"/>
              </w:rPr>
            </w:pPr>
            <w:r w:rsidRPr="00E925B1">
              <w:rPr>
                <w:sz w:val="19"/>
                <w:szCs w:val="19"/>
                <w:lang w:val="en-GB"/>
              </w:rPr>
              <w:t>20 (fixed)</w:t>
            </w:r>
          </w:p>
        </w:tc>
      </w:tr>
      <w:tr w:rsidR="00296CBD" w:rsidRPr="00E925B1" w14:paraId="11825445" w14:textId="77777777" w:rsidTr="006A7662">
        <w:tc>
          <w:tcPr>
            <w:tcW w:w="694" w:type="dxa"/>
          </w:tcPr>
          <w:p w14:paraId="624899C8" w14:textId="654C220B" w:rsidR="00424E56" w:rsidRPr="00E925B1" w:rsidRDefault="00424E56" w:rsidP="00424E56">
            <w:pPr>
              <w:pStyle w:val="Els-body-text"/>
              <w:rPr>
                <w:sz w:val="19"/>
                <w:szCs w:val="19"/>
                <w:lang w:val="en-GB"/>
              </w:rPr>
            </w:pPr>
            <w:r w:rsidRPr="00E925B1">
              <w:rPr>
                <w:sz w:val="19"/>
                <w:szCs w:val="19"/>
                <w:lang w:val="en-GB"/>
              </w:rPr>
              <w:t>CS9</w:t>
            </w:r>
          </w:p>
        </w:tc>
        <w:tc>
          <w:tcPr>
            <w:tcW w:w="687" w:type="dxa"/>
          </w:tcPr>
          <w:p w14:paraId="164067CC" w14:textId="78729166" w:rsidR="00424E56" w:rsidRPr="00E925B1" w:rsidRDefault="00424E56" w:rsidP="00424E56">
            <w:pPr>
              <w:pStyle w:val="Els-body-text"/>
              <w:rPr>
                <w:sz w:val="19"/>
                <w:szCs w:val="19"/>
                <w:lang w:val="en-GB"/>
              </w:rPr>
            </w:pPr>
            <w:r w:rsidRPr="00E925B1">
              <w:rPr>
                <w:sz w:val="19"/>
                <w:szCs w:val="19"/>
                <w:lang w:val="en-GB"/>
              </w:rPr>
              <w:t>12</w:t>
            </w:r>
            <w:r w:rsidR="00D71FC7" w:rsidRPr="00E925B1">
              <w:rPr>
                <w:sz w:val="19"/>
                <w:szCs w:val="19"/>
                <w:lang w:val="en-GB"/>
              </w:rPr>
              <w:t>.0</w:t>
            </w:r>
          </w:p>
        </w:tc>
        <w:tc>
          <w:tcPr>
            <w:tcW w:w="863" w:type="dxa"/>
            <w:shd w:val="clear" w:color="auto" w:fill="auto"/>
          </w:tcPr>
          <w:p w14:paraId="32DB56EA" w14:textId="6B8BA359" w:rsidR="005852B3" w:rsidRPr="005852B3" w:rsidRDefault="005852B3" w:rsidP="00424E56">
            <w:pPr>
              <w:pStyle w:val="Els-body-text"/>
              <w:rPr>
                <w:sz w:val="19"/>
                <w:szCs w:val="19"/>
                <w:lang w:val="en-GB"/>
              </w:rPr>
            </w:pPr>
            <w:r w:rsidRPr="005852B3">
              <w:rPr>
                <w:sz w:val="19"/>
                <w:szCs w:val="19"/>
                <w:lang w:val="en-GB"/>
              </w:rPr>
              <w:t>0.80</w:t>
            </w:r>
          </w:p>
        </w:tc>
        <w:tc>
          <w:tcPr>
            <w:tcW w:w="1012" w:type="dxa"/>
            <w:shd w:val="clear" w:color="auto" w:fill="B8CCE4" w:themeFill="accent1" w:themeFillTint="66"/>
          </w:tcPr>
          <w:p w14:paraId="3FDAC44B" w14:textId="732D190D" w:rsidR="00424E56" w:rsidRPr="001D7C74" w:rsidRDefault="005852B3" w:rsidP="00424E56">
            <w:pPr>
              <w:pStyle w:val="Els-body-text"/>
              <w:rPr>
                <w:sz w:val="19"/>
                <w:szCs w:val="19"/>
              </w:rPr>
            </w:pPr>
            <w:r w:rsidRPr="001D7C74">
              <w:rPr>
                <w:sz w:val="19"/>
                <w:szCs w:val="19"/>
              </w:rPr>
              <w:t>3.</w:t>
            </w:r>
            <w:r w:rsidR="001D7C74" w:rsidRPr="001D7C74">
              <w:rPr>
                <w:sz w:val="19"/>
                <w:szCs w:val="19"/>
              </w:rPr>
              <w:t>85</w:t>
            </w:r>
          </w:p>
        </w:tc>
        <w:tc>
          <w:tcPr>
            <w:tcW w:w="992" w:type="dxa"/>
          </w:tcPr>
          <w:p w14:paraId="46A93A27" w14:textId="09CEA7A4"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6528B9E4" w14:textId="4A10DF27" w:rsidR="00424E56" w:rsidRPr="00E925B1" w:rsidRDefault="00424E56" w:rsidP="00424E56">
            <w:pPr>
              <w:pStyle w:val="Els-body-text"/>
              <w:rPr>
                <w:sz w:val="19"/>
                <w:szCs w:val="19"/>
                <w:lang w:val="en-GB"/>
              </w:rPr>
            </w:pPr>
            <w:r w:rsidRPr="00E925B1">
              <w:rPr>
                <w:sz w:val="19"/>
                <w:szCs w:val="19"/>
              </w:rPr>
              <w:t>54.20</w:t>
            </w:r>
          </w:p>
        </w:tc>
        <w:tc>
          <w:tcPr>
            <w:tcW w:w="1007" w:type="dxa"/>
          </w:tcPr>
          <w:p w14:paraId="667043DB" w14:textId="1A5F8C1A" w:rsidR="00424E56" w:rsidRPr="00E925B1" w:rsidRDefault="00424E56" w:rsidP="00424E56">
            <w:pPr>
              <w:pStyle w:val="Els-body-text"/>
              <w:rPr>
                <w:sz w:val="19"/>
                <w:szCs w:val="19"/>
                <w:lang w:val="en-GB"/>
              </w:rPr>
            </w:pPr>
            <w:r w:rsidRPr="00E925B1">
              <w:rPr>
                <w:sz w:val="19"/>
                <w:szCs w:val="19"/>
              </w:rPr>
              <w:t>67.9</w:t>
            </w:r>
            <w:r w:rsidR="00F07DBC" w:rsidRPr="00E925B1">
              <w:rPr>
                <w:sz w:val="19"/>
                <w:szCs w:val="19"/>
              </w:rPr>
              <w:t>0</w:t>
            </w:r>
          </w:p>
        </w:tc>
        <w:tc>
          <w:tcPr>
            <w:tcW w:w="968" w:type="dxa"/>
          </w:tcPr>
          <w:p w14:paraId="7BE81534" w14:textId="6BB55F18" w:rsidR="00424E56" w:rsidRPr="00E925B1" w:rsidRDefault="008851E8" w:rsidP="00424E56">
            <w:pPr>
              <w:pStyle w:val="Els-body-text"/>
              <w:rPr>
                <w:sz w:val="19"/>
                <w:szCs w:val="19"/>
                <w:lang w:val="en-GB"/>
              </w:rPr>
            </w:pPr>
            <w:r w:rsidRPr="00E925B1">
              <w:rPr>
                <w:sz w:val="19"/>
                <w:szCs w:val="19"/>
                <w:lang w:val="en-GB"/>
              </w:rPr>
              <w:t>20 (fixed)</w:t>
            </w:r>
          </w:p>
        </w:tc>
      </w:tr>
      <w:tr w:rsidR="00296CBD" w:rsidRPr="00E925B1" w14:paraId="32AB5780" w14:textId="77777777" w:rsidTr="006A7662">
        <w:tc>
          <w:tcPr>
            <w:tcW w:w="694" w:type="dxa"/>
          </w:tcPr>
          <w:p w14:paraId="2896F1A0" w14:textId="1A187289" w:rsidR="00424E56" w:rsidRPr="00E925B1" w:rsidRDefault="00424E56" w:rsidP="00424E56">
            <w:pPr>
              <w:pStyle w:val="Els-body-text"/>
              <w:rPr>
                <w:sz w:val="19"/>
                <w:szCs w:val="19"/>
                <w:lang w:val="en-GB"/>
              </w:rPr>
            </w:pPr>
            <w:r w:rsidRPr="00E925B1">
              <w:rPr>
                <w:sz w:val="19"/>
                <w:szCs w:val="19"/>
                <w:lang w:val="en-GB"/>
              </w:rPr>
              <w:t>CS10</w:t>
            </w:r>
          </w:p>
        </w:tc>
        <w:tc>
          <w:tcPr>
            <w:tcW w:w="687" w:type="dxa"/>
          </w:tcPr>
          <w:p w14:paraId="41C054E7" w14:textId="7A34962D" w:rsidR="00424E56" w:rsidRPr="00E925B1" w:rsidRDefault="00424E56" w:rsidP="00424E56">
            <w:pPr>
              <w:pStyle w:val="Els-body-text"/>
              <w:rPr>
                <w:sz w:val="19"/>
                <w:szCs w:val="19"/>
                <w:lang w:val="en-GB"/>
              </w:rPr>
            </w:pPr>
            <w:r w:rsidRPr="00E925B1">
              <w:rPr>
                <w:sz w:val="19"/>
                <w:szCs w:val="19"/>
                <w:lang w:val="en-GB"/>
              </w:rPr>
              <w:t>12</w:t>
            </w:r>
            <w:r w:rsidR="00D71FC7" w:rsidRPr="00E925B1">
              <w:rPr>
                <w:sz w:val="19"/>
                <w:szCs w:val="19"/>
                <w:lang w:val="en-GB"/>
              </w:rPr>
              <w:t>.0</w:t>
            </w:r>
          </w:p>
        </w:tc>
        <w:tc>
          <w:tcPr>
            <w:tcW w:w="863" w:type="dxa"/>
            <w:shd w:val="clear" w:color="auto" w:fill="auto"/>
          </w:tcPr>
          <w:p w14:paraId="1852BD3E" w14:textId="1D49DE89" w:rsidR="005852B3" w:rsidRPr="005852B3" w:rsidRDefault="001D7C74" w:rsidP="00424E56">
            <w:pPr>
              <w:pStyle w:val="Els-body-text"/>
              <w:rPr>
                <w:sz w:val="19"/>
                <w:szCs w:val="19"/>
                <w:lang w:val="en-GB"/>
              </w:rPr>
            </w:pPr>
            <w:r w:rsidRPr="001D7C74">
              <w:rPr>
                <w:sz w:val="19"/>
                <w:szCs w:val="19"/>
                <w:lang w:val="en-GB"/>
              </w:rPr>
              <w:t>1.20</w:t>
            </w:r>
          </w:p>
        </w:tc>
        <w:tc>
          <w:tcPr>
            <w:tcW w:w="1012" w:type="dxa"/>
            <w:shd w:val="clear" w:color="auto" w:fill="B8CCE4" w:themeFill="accent1" w:themeFillTint="66"/>
          </w:tcPr>
          <w:p w14:paraId="0A85EA3A" w14:textId="79E05E66" w:rsidR="00424E56" w:rsidRPr="00E925B1" w:rsidRDefault="001D7C74" w:rsidP="00424E56">
            <w:pPr>
              <w:pStyle w:val="Els-body-text"/>
              <w:rPr>
                <w:sz w:val="19"/>
                <w:szCs w:val="19"/>
                <w:lang w:val="en-GB"/>
              </w:rPr>
            </w:pPr>
            <w:r w:rsidRPr="001D7C74">
              <w:rPr>
                <w:sz w:val="19"/>
                <w:szCs w:val="19"/>
              </w:rPr>
              <w:t>8.93</w:t>
            </w:r>
          </w:p>
        </w:tc>
        <w:tc>
          <w:tcPr>
            <w:tcW w:w="992" w:type="dxa"/>
          </w:tcPr>
          <w:p w14:paraId="4E777169" w14:textId="5801F414"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5746A7C7" w14:textId="7A728A96" w:rsidR="00424E56" w:rsidRPr="00E925B1" w:rsidRDefault="000C3B67" w:rsidP="00424E56">
            <w:pPr>
              <w:pStyle w:val="Els-body-text"/>
              <w:rPr>
                <w:sz w:val="19"/>
                <w:szCs w:val="19"/>
                <w:lang w:val="en-GB"/>
              </w:rPr>
            </w:pPr>
            <w:r>
              <w:rPr>
                <w:sz w:val="19"/>
                <w:szCs w:val="19"/>
                <w:lang w:val="en-GB"/>
              </w:rPr>
              <w:t>65.20</w:t>
            </w:r>
          </w:p>
        </w:tc>
        <w:tc>
          <w:tcPr>
            <w:tcW w:w="1007" w:type="dxa"/>
          </w:tcPr>
          <w:p w14:paraId="4C9F66F1" w14:textId="2A316967" w:rsidR="00424E56" w:rsidRPr="00E925B1" w:rsidRDefault="000C3B67" w:rsidP="00424E56">
            <w:pPr>
              <w:pStyle w:val="Els-body-text"/>
              <w:rPr>
                <w:sz w:val="19"/>
                <w:szCs w:val="19"/>
                <w:lang w:val="en-GB"/>
              </w:rPr>
            </w:pPr>
            <w:r>
              <w:rPr>
                <w:sz w:val="19"/>
                <w:szCs w:val="19"/>
                <w:lang w:val="en-GB"/>
              </w:rPr>
              <w:t>78.90</w:t>
            </w:r>
          </w:p>
        </w:tc>
        <w:tc>
          <w:tcPr>
            <w:tcW w:w="968" w:type="dxa"/>
          </w:tcPr>
          <w:p w14:paraId="1A3D09BD" w14:textId="280DFB7B" w:rsidR="00424E56" w:rsidRPr="00E925B1" w:rsidRDefault="008851E8" w:rsidP="00424E56">
            <w:pPr>
              <w:pStyle w:val="Els-body-text"/>
              <w:rPr>
                <w:sz w:val="19"/>
                <w:szCs w:val="19"/>
                <w:lang w:val="en-GB"/>
              </w:rPr>
            </w:pPr>
            <w:r w:rsidRPr="00E925B1">
              <w:rPr>
                <w:sz w:val="19"/>
                <w:szCs w:val="19"/>
                <w:lang w:val="en-GB"/>
              </w:rPr>
              <w:t>20 (fixed)</w:t>
            </w:r>
          </w:p>
        </w:tc>
      </w:tr>
      <w:tr w:rsidR="00296CBD" w:rsidRPr="00E925B1" w14:paraId="16C13B98" w14:textId="77777777" w:rsidTr="006A7662">
        <w:tc>
          <w:tcPr>
            <w:tcW w:w="694" w:type="dxa"/>
          </w:tcPr>
          <w:p w14:paraId="182EAF65" w14:textId="7C6C81C9" w:rsidR="00424E56" w:rsidRPr="00E925B1" w:rsidRDefault="00424E56" w:rsidP="00424E56">
            <w:pPr>
              <w:pStyle w:val="Els-body-text"/>
              <w:rPr>
                <w:sz w:val="19"/>
                <w:szCs w:val="19"/>
                <w:lang w:val="en-GB"/>
              </w:rPr>
            </w:pPr>
            <w:r w:rsidRPr="00E925B1">
              <w:rPr>
                <w:sz w:val="19"/>
                <w:szCs w:val="19"/>
                <w:lang w:val="en-GB"/>
              </w:rPr>
              <w:t>CS11</w:t>
            </w:r>
          </w:p>
        </w:tc>
        <w:tc>
          <w:tcPr>
            <w:tcW w:w="687" w:type="dxa"/>
          </w:tcPr>
          <w:p w14:paraId="520B6844" w14:textId="0DA3F4E7" w:rsidR="00424E56" w:rsidRPr="00E925B1" w:rsidRDefault="00424E56" w:rsidP="00424E56">
            <w:pPr>
              <w:pStyle w:val="Els-body-text"/>
              <w:rPr>
                <w:sz w:val="19"/>
                <w:szCs w:val="19"/>
                <w:lang w:val="en-GB"/>
              </w:rPr>
            </w:pPr>
            <w:r w:rsidRPr="00E925B1">
              <w:rPr>
                <w:sz w:val="19"/>
                <w:szCs w:val="19"/>
                <w:lang w:val="en-GB"/>
              </w:rPr>
              <w:t>12</w:t>
            </w:r>
            <w:r w:rsidR="00D71FC7" w:rsidRPr="00E925B1">
              <w:rPr>
                <w:sz w:val="19"/>
                <w:szCs w:val="19"/>
                <w:lang w:val="en-GB"/>
              </w:rPr>
              <w:t>.0</w:t>
            </w:r>
          </w:p>
        </w:tc>
        <w:tc>
          <w:tcPr>
            <w:tcW w:w="863" w:type="dxa"/>
            <w:shd w:val="clear" w:color="auto" w:fill="auto"/>
          </w:tcPr>
          <w:p w14:paraId="17BD4941" w14:textId="60EE119F" w:rsidR="005852B3" w:rsidRPr="005852B3" w:rsidRDefault="005852B3" w:rsidP="00424E56">
            <w:pPr>
              <w:pStyle w:val="Els-body-text"/>
              <w:rPr>
                <w:sz w:val="19"/>
                <w:szCs w:val="19"/>
                <w:lang w:val="en-GB"/>
              </w:rPr>
            </w:pPr>
            <w:r w:rsidRPr="005852B3">
              <w:rPr>
                <w:sz w:val="19"/>
                <w:szCs w:val="19"/>
                <w:lang w:val="en-GB"/>
              </w:rPr>
              <w:t>0.</w:t>
            </w:r>
            <w:r w:rsidR="001D7C74" w:rsidRPr="001D7C74">
              <w:rPr>
                <w:sz w:val="19"/>
                <w:szCs w:val="19"/>
                <w:lang w:val="en-GB"/>
              </w:rPr>
              <w:t>6</w:t>
            </w:r>
            <w:r w:rsidRPr="005852B3">
              <w:rPr>
                <w:sz w:val="19"/>
                <w:szCs w:val="19"/>
                <w:lang w:val="en-GB"/>
              </w:rPr>
              <w:t>0</w:t>
            </w:r>
          </w:p>
        </w:tc>
        <w:tc>
          <w:tcPr>
            <w:tcW w:w="1012" w:type="dxa"/>
            <w:shd w:val="clear" w:color="auto" w:fill="B8CCE4" w:themeFill="accent1" w:themeFillTint="66"/>
          </w:tcPr>
          <w:p w14:paraId="1AABE9D9" w14:textId="62025B9E" w:rsidR="00424E56" w:rsidRPr="00E925B1" w:rsidRDefault="001D7C74" w:rsidP="00424E56">
            <w:pPr>
              <w:pStyle w:val="Els-body-text"/>
              <w:rPr>
                <w:sz w:val="19"/>
                <w:szCs w:val="19"/>
                <w:lang w:val="en-GB"/>
              </w:rPr>
            </w:pPr>
            <w:r w:rsidRPr="001D7C74">
              <w:rPr>
                <w:sz w:val="19"/>
                <w:szCs w:val="19"/>
                <w:lang w:val="en-GB"/>
              </w:rPr>
              <w:t>1.31</w:t>
            </w:r>
          </w:p>
        </w:tc>
        <w:tc>
          <w:tcPr>
            <w:tcW w:w="992" w:type="dxa"/>
          </w:tcPr>
          <w:p w14:paraId="5036E7F2" w14:textId="5DFD7CC4" w:rsidR="00424E56" w:rsidRPr="00E925B1" w:rsidRDefault="00424E56" w:rsidP="00424E56">
            <w:pPr>
              <w:pStyle w:val="Els-body-text"/>
              <w:rPr>
                <w:sz w:val="19"/>
                <w:szCs w:val="19"/>
                <w:lang w:val="en-GB"/>
              </w:rPr>
            </w:pPr>
            <w:r w:rsidRPr="00E925B1">
              <w:rPr>
                <w:sz w:val="19"/>
                <w:szCs w:val="19"/>
                <w:lang w:val="en-GB"/>
              </w:rPr>
              <w:t>71.62</w:t>
            </w:r>
          </w:p>
        </w:tc>
        <w:tc>
          <w:tcPr>
            <w:tcW w:w="854" w:type="dxa"/>
          </w:tcPr>
          <w:p w14:paraId="656D1F01" w14:textId="3E4F6B0E" w:rsidR="00424E56" w:rsidRPr="00E925B1" w:rsidRDefault="00A05D4B" w:rsidP="00424E56">
            <w:pPr>
              <w:pStyle w:val="Els-body-text"/>
              <w:rPr>
                <w:sz w:val="19"/>
                <w:szCs w:val="19"/>
                <w:lang w:val="en-GB"/>
              </w:rPr>
            </w:pPr>
            <w:r>
              <w:rPr>
                <w:sz w:val="19"/>
                <w:szCs w:val="19"/>
                <w:lang w:val="en-GB"/>
              </w:rPr>
              <w:t>48.69</w:t>
            </w:r>
          </w:p>
        </w:tc>
        <w:tc>
          <w:tcPr>
            <w:tcW w:w="1007" w:type="dxa"/>
          </w:tcPr>
          <w:p w14:paraId="264B5F61" w14:textId="786BBEAD" w:rsidR="00424E56" w:rsidRPr="00E925B1" w:rsidRDefault="00D3065A" w:rsidP="00424E56">
            <w:pPr>
              <w:pStyle w:val="Els-body-text"/>
              <w:rPr>
                <w:sz w:val="19"/>
                <w:szCs w:val="19"/>
                <w:lang w:val="en-GB"/>
              </w:rPr>
            </w:pPr>
            <w:r>
              <w:rPr>
                <w:sz w:val="19"/>
                <w:szCs w:val="19"/>
                <w:lang w:val="en-GB"/>
              </w:rPr>
              <w:t>62.39</w:t>
            </w:r>
          </w:p>
        </w:tc>
        <w:tc>
          <w:tcPr>
            <w:tcW w:w="968" w:type="dxa"/>
          </w:tcPr>
          <w:p w14:paraId="3496C2F0" w14:textId="3B75568E" w:rsidR="00424E56" w:rsidRPr="00E925B1" w:rsidRDefault="008851E8" w:rsidP="00424E56">
            <w:pPr>
              <w:pStyle w:val="Els-body-text"/>
              <w:rPr>
                <w:sz w:val="19"/>
                <w:szCs w:val="19"/>
                <w:lang w:val="en-GB"/>
              </w:rPr>
            </w:pPr>
            <w:r w:rsidRPr="00E925B1">
              <w:rPr>
                <w:sz w:val="19"/>
                <w:szCs w:val="19"/>
                <w:lang w:val="en-GB"/>
              </w:rPr>
              <w:t>20 (fixed)</w:t>
            </w:r>
          </w:p>
        </w:tc>
      </w:tr>
    </w:tbl>
    <w:p w14:paraId="1DEFFB40" w14:textId="0105DCBB" w:rsidR="00EF717C" w:rsidRPr="00AF69B8" w:rsidRDefault="00327F5D" w:rsidP="004A77DF">
      <w:pPr>
        <w:pStyle w:val="Els-body-text"/>
        <w:rPr>
          <w:sz w:val="16"/>
          <w:szCs w:val="16"/>
          <w:lang w:val="en-GB"/>
        </w:rPr>
      </w:pPr>
      <w:r w:rsidRPr="00AF69B8">
        <w:rPr>
          <w:sz w:val="16"/>
          <w:szCs w:val="16"/>
          <w:vertAlign w:val="superscript"/>
          <w:lang w:val="en-GB"/>
        </w:rPr>
        <w:t>1</w:t>
      </w:r>
      <w:r w:rsidR="00403C88" w:rsidRPr="00AF69B8">
        <w:rPr>
          <w:sz w:val="16"/>
          <w:szCs w:val="16"/>
          <w:vertAlign w:val="superscript"/>
          <w:lang w:val="en-GB"/>
        </w:rPr>
        <w:t xml:space="preserve"> </w:t>
      </w:r>
      <w:r w:rsidR="001D7C74">
        <w:rPr>
          <w:sz w:val="16"/>
          <w:szCs w:val="16"/>
          <w:lang w:val="en-GB"/>
        </w:rPr>
        <w:t>B</w:t>
      </w:r>
      <w:r w:rsidRPr="00AF69B8">
        <w:rPr>
          <w:sz w:val="16"/>
          <w:szCs w:val="16"/>
          <w:lang w:val="en-GB"/>
        </w:rPr>
        <w:t xml:space="preserve">ioethanol and hydrogen </w:t>
      </w:r>
      <w:r w:rsidR="006A7662">
        <w:rPr>
          <w:sz w:val="16"/>
          <w:szCs w:val="16"/>
          <w:lang w:val="en-GB"/>
        </w:rPr>
        <w:t>aver</w:t>
      </w:r>
      <w:r w:rsidR="009A0F22">
        <w:rPr>
          <w:sz w:val="16"/>
          <w:szCs w:val="16"/>
          <w:lang w:val="en-GB"/>
        </w:rPr>
        <w:t xml:space="preserve">age </w:t>
      </w:r>
      <w:r w:rsidRPr="00AF69B8">
        <w:rPr>
          <w:sz w:val="16"/>
          <w:szCs w:val="16"/>
          <w:lang w:val="en-GB"/>
        </w:rPr>
        <w:t xml:space="preserve">prices as in </w:t>
      </w:r>
      <w:r w:rsidRPr="00AF69B8">
        <w:rPr>
          <w:sz w:val="16"/>
          <w:szCs w:val="16"/>
          <w:lang w:val="en-GB"/>
        </w:rPr>
        <w:fldChar w:fldCharType="begin"/>
      </w:r>
      <w:r w:rsidRPr="00AF69B8">
        <w:rPr>
          <w:sz w:val="16"/>
          <w:szCs w:val="16"/>
          <w:lang w:val="en-GB"/>
        </w:rPr>
        <w:instrText xml:space="preserve"> REF _Ref150506536 \h  \* MERGEFORMAT </w:instrText>
      </w:r>
      <w:r w:rsidRPr="00AF69B8">
        <w:rPr>
          <w:sz w:val="16"/>
          <w:szCs w:val="16"/>
          <w:lang w:val="en-GB"/>
        </w:rPr>
      </w:r>
      <w:r w:rsidRPr="00AF69B8">
        <w:rPr>
          <w:sz w:val="16"/>
          <w:szCs w:val="16"/>
          <w:lang w:val="en-GB"/>
        </w:rPr>
        <w:fldChar w:fldCharType="separate"/>
      </w:r>
      <w:r w:rsidR="00F962E1" w:rsidRPr="00F962E1">
        <w:rPr>
          <w:sz w:val="16"/>
          <w:szCs w:val="16"/>
        </w:rPr>
        <w:t xml:space="preserve">Table </w:t>
      </w:r>
      <w:r w:rsidR="00F962E1" w:rsidRPr="00F962E1">
        <w:rPr>
          <w:noProof/>
          <w:sz w:val="16"/>
          <w:szCs w:val="16"/>
        </w:rPr>
        <w:t>2</w:t>
      </w:r>
      <w:r w:rsidRPr="00AF69B8">
        <w:rPr>
          <w:sz w:val="16"/>
          <w:szCs w:val="16"/>
          <w:lang w:val="en-GB"/>
        </w:rPr>
        <w:fldChar w:fldCharType="end"/>
      </w:r>
      <w:r w:rsidR="005852B3">
        <w:rPr>
          <w:sz w:val="16"/>
          <w:szCs w:val="16"/>
          <w:lang w:val="en-GB"/>
        </w:rPr>
        <w:t>.</w:t>
      </w:r>
    </w:p>
    <w:p w14:paraId="144DE6BA" w14:textId="4E0B0D14" w:rsidR="008D2649" w:rsidRPr="00A94774" w:rsidRDefault="006662C7" w:rsidP="00B13DBB">
      <w:pPr>
        <w:pStyle w:val="Els-1storder-head"/>
        <w:spacing w:before="320" w:after="120"/>
        <w:rPr>
          <w:lang w:val="en-GB"/>
        </w:rPr>
      </w:pPr>
      <w:r>
        <w:rPr>
          <w:lang w:val="en-GB"/>
        </w:rPr>
        <w:t>C</w:t>
      </w:r>
      <w:r w:rsidR="008D2649" w:rsidRPr="00A94774">
        <w:rPr>
          <w:lang w:val="en-GB"/>
        </w:rPr>
        <w:t>onclusions</w:t>
      </w:r>
    </w:p>
    <w:p w14:paraId="144DE6BE" w14:textId="5D96A12D" w:rsidR="008D2649" w:rsidRDefault="00C54DE1" w:rsidP="003A3951">
      <w:pPr>
        <w:pStyle w:val="Els-body-text"/>
        <w:rPr>
          <w:lang w:val="en-GB"/>
        </w:rPr>
      </w:pPr>
      <w:r w:rsidRPr="00AE4BE0">
        <w:rPr>
          <w:lang w:val="en-GB"/>
        </w:rPr>
        <w:t xml:space="preserve">Here we report the TEA of a </w:t>
      </w:r>
      <w:r w:rsidR="00744CB6" w:rsidRPr="00AE4BE0">
        <w:rPr>
          <w:lang w:val="en-GB"/>
        </w:rPr>
        <w:t>spruce</w:t>
      </w:r>
      <w:r w:rsidRPr="00AE4BE0">
        <w:rPr>
          <w:lang w:val="en-GB"/>
        </w:rPr>
        <w:t>-to-</w:t>
      </w:r>
      <w:r w:rsidR="00744CB6" w:rsidRPr="00AE4BE0">
        <w:rPr>
          <w:lang w:val="en-GB"/>
        </w:rPr>
        <w:t>fuel</w:t>
      </w:r>
      <w:r w:rsidRPr="00AE4BE0">
        <w:rPr>
          <w:lang w:val="en-GB"/>
        </w:rPr>
        <w:t xml:space="preserve"> biorefinery</w:t>
      </w:r>
      <w:r w:rsidR="00FE6D5B" w:rsidRPr="00AE4BE0">
        <w:rPr>
          <w:lang w:val="en-GB"/>
        </w:rPr>
        <w:t>. Our</w:t>
      </w:r>
      <w:r w:rsidR="0082525A" w:rsidRPr="00AE4BE0">
        <w:rPr>
          <w:lang w:val="en-GB"/>
        </w:rPr>
        <w:t xml:space="preserve"> sensitivity analysis </w:t>
      </w:r>
      <w:r w:rsidR="00FE6D5B" w:rsidRPr="00AE4BE0">
        <w:rPr>
          <w:lang w:val="en-GB"/>
        </w:rPr>
        <w:t>estimates</w:t>
      </w:r>
      <w:r w:rsidR="00305074" w:rsidRPr="00AE4BE0">
        <w:rPr>
          <w:lang w:val="en-GB"/>
        </w:rPr>
        <w:t xml:space="preserve"> the biorefinery</w:t>
      </w:r>
      <w:r w:rsidR="00AC05AF" w:rsidRPr="00AE4BE0">
        <w:rPr>
          <w:lang w:val="en-GB"/>
        </w:rPr>
        <w:t>’s</w:t>
      </w:r>
      <w:r w:rsidR="00305074" w:rsidRPr="00AE4BE0">
        <w:rPr>
          <w:lang w:val="en-GB"/>
        </w:rPr>
        <w:t xml:space="preserve"> economics</w:t>
      </w:r>
      <w:r w:rsidR="00AC05AF" w:rsidRPr="00AE4BE0">
        <w:rPr>
          <w:lang w:val="en-GB"/>
        </w:rPr>
        <w:t xml:space="preserve"> when</w:t>
      </w:r>
      <w:r w:rsidR="00305074" w:rsidRPr="00AE4BE0">
        <w:rPr>
          <w:lang w:val="en-GB"/>
        </w:rPr>
        <w:t xml:space="preserve"> </w:t>
      </w:r>
      <w:r w:rsidR="00AB0846" w:rsidRPr="00AE4BE0">
        <w:rPr>
          <w:lang w:val="en-GB"/>
        </w:rPr>
        <w:t xml:space="preserve">accounting for the </w:t>
      </w:r>
      <w:r w:rsidR="00C168A9" w:rsidRPr="00AE4BE0">
        <w:rPr>
          <w:lang w:val="en-GB"/>
        </w:rPr>
        <w:t>hydrogen source</w:t>
      </w:r>
      <w:r w:rsidR="00AC05AF" w:rsidRPr="00AE4BE0">
        <w:rPr>
          <w:lang w:val="en-GB"/>
        </w:rPr>
        <w:t xml:space="preserve">, </w:t>
      </w:r>
      <w:r w:rsidR="00ED3A99" w:rsidRPr="00AE4BE0">
        <w:rPr>
          <w:lang w:val="en-GB"/>
        </w:rPr>
        <w:t xml:space="preserve">strategies to burn the </w:t>
      </w:r>
      <w:r w:rsidR="00AC05AF" w:rsidRPr="00AE4BE0">
        <w:rPr>
          <w:lang w:val="en-GB"/>
        </w:rPr>
        <w:t xml:space="preserve">formed </w:t>
      </w:r>
      <w:r w:rsidR="00ED3A99" w:rsidRPr="00AE4BE0">
        <w:rPr>
          <w:lang w:val="en-GB"/>
        </w:rPr>
        <w:t>biochar</w:t>
      </w:r>
      <w:r w:rsidR="00405FBF" w:rsidRPr="00AE4BE0">
        <w:rPr>
          <w:lang w:val="en-GB"/>
        </w:rPr>
        <w:t xml:space="preserve"> (CS1 to CS5), </w:t>
      </w:r>
      <w:r w:rsidR="00EC63BA" w:rsidRPr="00AE4BE0">
        <w:rPr>
          <w:lang w:val="en-GB"/>
        </w:rPr>
        <w:t xml:space="preserve">the selling price of the fuel-grade </w:t>
      </w:r>
      <w:r w:rsidR="00405FBF" w:rsidRPr="00AE4BE0">
        <w:rPr>
          <w:lang w:val="en-GB"/>
        </w:rPr>
        <w:t xml:space="preserve">bioethanol </w:t>
      </w:r>
      <w:r w:rsidR="00C40875" w:rsidRPr="00AE4BE0">
        <w:rPr>
          <w:lang w:val="en-GB"/>
        </w:rPr>
        <w:t>(CS6</w:t>
      </w:r>
      <w:r w:rsidR="00005558" w:rsidRPr="00AE4BE0">
        <w:rPr>
          <w:lang w:val="en-GB"/>
        </w:rPr>
        <w:t xml:space="preserve"> to </w:t>
      </w:r>
      <w:r w:rsidR="00741A1B" w:rsidRPr="00AE4BE0">
        <w:rPr>
          <w:lang w:val="en-GB"/>
        </w:rPr>
        <w:t xml:space="preserve">CS8) and the </w:t>
      </w:r>
      <w:r w:rsidR="00392EDE" w:rsidRPr="00AE4BE0">
        <w:rPr>
          <w:lang w:val="en-GB"/>
        </w:rPr>
        <w:t xml:space="preserve">price for </w:t>
      </w:r>
      <w:r w:rsidR="00741A1B" w:rsidRPr="00AE4BE0">
        <w:rPr>
          <w:lang w:val="en-GB"/>
        </w:rPr>
        <w:t>green-H</w:t>
      </w:r>
      <w:r w:rsidR="00741A1B" w:rsidRPr="00AE4BE0">
        <w:rPr>
          <w:vertAlign w:val="subscript"/>
          <w:lang w:val="en-GB"/>
        </w:rPr>
        <w:t>2</w:t>
      </w:r>
      <w:r w:rsidR="00741A1B" w:rsidRPr="00AE4BE0">
        <w:rPr>
          <w:lang w:val="en-GB"/>
        </w:rPr>
        <w:t xml:space="preserve"> (CS9</w:t>
      </w:r>
      <w:r w:rsidR="00005558" w:rsidRPr="00AE4BE0">
        <w:rPr>
          <w:lang w:val="en-GB"/>
        </w:rPr>
        <w:t xml:space="preserve"> to </w:t>
      </w:r>
      <w:r w:rsidR="00741A1B" w:rsidRPr="00AE4BE0">
        <w:rPr>
          <w:lang w:val="en-GB"/>
        </w:rPr>
        <w:t xml:space="preserve">CS11). </w:t>
      </w:r>
      <w:r w:rsidR="00392EDE" w:rsidRPr="00BA2117">
        <w:rPr>
          <w:lang w:val="en-GB"/>
        </w:rPr>
        <w:t>Our calculations indicate that, with the c</w:t>
      </w:r>
      <w:r w:rsidR="005D4688" w:rsidRPr="00BA2117">
        <w:rPr>
          <w:lang w:val="en-GB"/>
        </w:rPr>
        <w:t>urrent</w:t>
      </w:r>
      <w:r w:rsidR="00392EDE" w:rsidRPr="00BA2117">
        <w:rPr>
          <w:lang w:val="en-GB"/>
        </w:rPr>
        <w:t xml:space="preserve"> </w:t>
      </w:r>
      <w:r w:rsidR="00C168A9" w:rsidRPr="00BA2117">
        <w:rPr>
          <w:lang w:val="en-GB"/>
        </w:rPr>
        <w:t>market price</w:t>
      </w:r>
      <w:r w:rsidR="00AC2A94" w:rsidRPr="00BA2117">
        <w:rPr>
          <w:lang w:val="en-GB"/>
        </w:rPr>
        <w:t xml:space="preserve"> values</w:t>
      </w:r>
      <w:r w:rsidR="005D4688" w:rsidRPr="00BA2117">
        <w:rPr>
          <w:lang w:val="en-GB"/>
        </w:rPr>
        <w:t xml:space="preserve">, </w:t>
      </w:r>
      <w:r w:rsidR="00A03052" w:rsidRPr="00BA2117">
        <w:rPr>
          <w:lang w:val="en-GB"/>
        </w:rPr>
        <w:t xml:space="preserve">only </w:t>
      </w:r>
      <w:r w:rsidR="00360435" w:rsidRPr="00BA2117">
        <w:rPr>
          <w:lang w:val="en-GB"/>
        </w:rPr>
        <w:t>CS1</w:t>
      </w:r>
      <w:r w:rsidR="00E21E3E" w:rsidRPr="00BA2117">
        <w:rPr>
          <w:lang w:val="en-GB"/>
        </w:rPr>
        <w:t xml:space="preserve"> and CS3</w:t>
      </w:r>
      <w:r w:rsidR="00A03052" w:rsidRPr="00BA2117">
        <w:rPr>
          <w:lang w:val="en-GB"/>
        </w:rPr>
        <w:t xml:space="preserve"> </w:t>
      </w:r>
      <w:r w:rsidR="00785CF0" w:rsidRPr="00BA2117">
        <w:rPr>
          <w:lang w:val="en-GB"/>
        </w:rPr>
        <w:t>(</w:t>
      </w:r>
      <w:r w:rsidR="00794D47" w:rsidRPr="00BA2117">
        <w:rPr>
          <w:lang w:val="en-GB"/>
        </w:rPr>
        <w:t>using</w:t>
      </w:r>
      <w:r w:rsidR="00E5727F" w:rsidRPr="00BA2117">
        <w:rPr>
          <w:lang w:val="en-GB"/>
        </w:rPr>
        <w:t xml:space="preserve"> </w:t>
      </w:r>
      <w:r w:rsidR="00A03052" w:rsidRPr="00BA2117">
        <w:rPr>
          <w:lang w:val="en-GB"/>
        </w:rPr>
        <w:t>air for biochar</w:t>
      </w:r>
      <w:r w:rsidR="008921E3" w:rsidRPr="00BA2117">
        <w:rPr>
          <w:lang w:val="en-GB"/>
        </w:rPr>
        <w:t xml:space="preserve"> </w:t>
      </w:r>
      <w:r w:rsidR="00A03052" w:rsidRPr="00BA2117">
        <w:rPr>
          <w:lang w:val="en-GB"/>
        </w:rPr>
        <w:t xml:space="preserve">combustion </w:t>
      </w:r>
      <w:r w:rsidR="008921E3" w:rsidRPr="00BA2117">
        <w:rPr>
          <w:lang w:val="en-GB"/>
        </w:rPr>
        <w:t xml:space="preserve">and </w:t>
      </w:r>
      <w:r w:rsidR="00C44F14" w:rsidRPr="00BA2117">
        <w:rPr>
          <w:lang w:val="en-GB"/>
        </w:rPr>
        <w:t xml:space="preserve">grey- </w:t>
      </w:r>
      <w:r w:rsidR="008921E3" w:rsidRPr="00BA2117">
        <w:rPr>
          <w:lang w:val="en-GB"/>
        </w:rPr>
        <w:t xml:space="preserve">or </w:t>
      </w:r>
      <w:r w:rsidR="00C44F14" w:rsidRPr="00BA2117">
        <w:rPr>
          <w:lang w:val="en-GB"/>
        </w:rPr>
        <w:t>blue-H</w:t>
      </w:r>
      <w:r w:rsidR="00C44F14" w:rsidRPr="00BA2117">
        <w:rPr>
          <w:vertAlign w:val="subscript"/>
          <w:lang w:val="en-GB"/>
        </w:rPr>
        <w:t>2</w:t>
      </w:r>
      <w:r w:rsidR="00A03052" w:rsidRPr="00BA2117">
        <w:rPr>
          <w:lang w:val="en-GB"/>
        </w:rPr>
        <w:t xml:space="preserve"> </w:t>
      </w:r>
      <w:r w:rsidR="00794D47" w:rsidRPr="00BA2117">
        <w:rPr>
          <w:lang w:val="en-GB"/>
        </w:rPr>
        <w:t>for</w:t>
      </w:r>
      <w:r w:rsidR="008921E3" w:rsidRPr="00BA2117">
        <w:rPr>
          <w:lang w:val="en-GB"/>
        </w:rPr>
        <w:t xml:space="preserve"> </w:t>
      </w:r>
      <w:r w:rsidR="00865D15" w:rsidRPr="00BA2117">
        <w:rPr>
          <w:lang w:val="en-GB"/>
        </w:rPr>
        <w:t xml:space="preserve">HDO of </w:t>
      </w:r>
      <w:r w:rsidR="005F061D" w:rsidRPr="00BA2117">
        <w:rPr>
          <w:lang w:val="en-GB"/>
        </w:rPr>
        <w:t xml:space="preserve">the </w:t>
      </w:r>
      <w:r w:rsidR="00865D15" w:rsidRPr="00BA2117">
        <w:rPr>
          <w:lang w:val="en-GB"/>
        </w:rPr>
        <w:t>crude bio-oil</w:t>
      </w:r>
      <w:r w:rsidR="00785CF0" w:rsidRPr="00BA2117">
        <w:rPr>
          <w:lang w:val="en-GB"/>
        </w:rPr>
        <w:t>)</w:t>
      </w:r>
      <w:r w:rsidR="00865D15" w:rsidRPr="00BA2117">
        <w:rPr>
          <w:lang w:val="en-GB"/>
        </w:rPr>
        <w:t xml:space="preserve"> </w:t>
      </w:r>
      <w:r w:rsidR="00785CF0" w:rsidRPr="00BA2117">
        <w:rPr>
          <w:lang w:val="en-GB"/>
        </w:rPr>
        <w:t>are</w:t>
      </w:r>
      <w:r w:rsidR="005D4688" w:rsidRPr="00BA2117">
        <w:rPr>
          <w:lang w:val="en-GB"/>
        </w:rPr>
        <w:t xml:space="preserve"> economically feasible</w:t>
      </w:r>
      <w:r w:rsidR="00865D15" w:rsidRPr="00BA2117">
        <w:rPr>
          <w:lang w:val="en-GB"/>
        </w:rPr>
        <w:t xml:space="preserve"> </w:t>
      </w:r>
      <w:r w:rsidR="00AB75AD" w:rsidRPr="00BA2117">
        <w:rPr>
          <w:lang w:val="en-GB"/>
        </w:rPr>
        <w:t>for</w:t>
      </w:r>
      <w:r w:rsidR="00865D15" w:rsidRPr="00BA2117">
        <w:rPr>
          <w:lang w:val="en-GB"/>
        </w:rPr>
        <w:t xml:space="preserve"> the </w:t>
      </w:r>
      <w:r w:rsidR="00005558" w:rsidRPr="00BA2117">
        <w:rPr>
          <w:lang w:val="en-GB"/>
        </w:rPr>
        <w:t>proposed</w:t>
      </w:r>
      <w:r w:rsidR="00865D15" w:rsidRPr="00BA2117">
        <w:rPr>
          <w:lang w:val="en-GB"/>
        </w:rPr>
        <w:t xml:space="preserve"> cases</w:t>
      </w:r>
      <w:r w:rsidR="00C44F14" w:rsidRPr="00BA2117">
        <w:rPr>
          <w:lang w:val="en-GB"/>
        </w:rPr>
        <w:t>.</w:t>
      </w:r>
      <w:r w:rsidR="00385885" w:rsidRPr="00BA2117">
        <w:rPr>
          <w:lang w:val="en-GB"/>
        </w:rPr>
        <w:t xml:space="preserve"> </w:t>
      </w:r>
      <w:r w:rsidR="0000743C" w:rsidRPr="00BA2117">
        <w:rPr>
          <w:lang w:val="en-GB"/>
        </w:rPr>
        <w:t>The price of bioethanol</w:t>
      </w:r>
      <w:r w:rsidR="000503FD" w:rsidRPr="00BA2117">
        <w:rPr>
          <w:lang w:val="en-GB"/>
        </w:rPr>
        <w:t xml:space="preserve"> (product)</w:t>
      </w:r>
      <w:r w:rsidR="0000743C" w:rsidRPr="00BA2117">
        <w:rPr>
          <w:lang w:val="en-GB"/>
        </w:rPr>
        <w:t xml:space="preserve"> and </w:t>
      </w:r>
      <w:r w:rsidR="00E21E3E" w:rsidRPr="00BA2117">
        <w:rPr>
          <w:lang w:val="en-GB"/>
        </w:rPr>
        <w:t>hydrogen</w:t>
      </w:r>
      <w:r w:rsidR="00D76710" w:rsidRPr="00BA2117">
        <w:rPr>
          <w:lang w:val="en-GB"/>
        </w:rPr>
        <w:t xml:space="preserve"> </w:t>
      </w:r>
      <w:r w:rsidR="000503FD" w:rsidRPr="00BA2117">
        <w:rPr>
          <w:lang w:val="en-GB"/>
        </w:rPr>
        <w:t xml:space="preserve">(consumable) </w:t>
      </w:r>
      <w:r w:rsidR="00B803E0" w:rsidRPr="00BA2117">
        <w:rPr>
          <w:lang w:val="en-GB"/>
        </w:rPr>
        <w:t xml:space="preserve">strongly </w:t>
      </w:r>
      <w:r w:rsidR="000503FD" w:rsidRPr="00BA2117">
        <w:rPr>
          <w:lang w:val="en-GB"/>
        </w:rPr>
        <w:t>affect</w:t>
      </w:r>
      <w:r w:rsidR="00D34BA4" w:rsidRPr="00BA2117">
        <w:rPr>
          <w:lang w:val="en-GB"/>
        </w:rPr>
        <w:t>s the profitability of the proposed biorefinery</w:t>
      </w:r>
      <w:r w:rsidR="00156B48" w:rsidRPr="00BA2117">
        <w:rPr>
          <w:lang w:val="en-GB"/>
        </w:rPr>
        <w:t xml:space="preserve">. In </w:t>
      </w:r>
      <w:r w:rsidR="00E86046" w:rsidRPr="00BA2117">
        <w:rPr>
          <w:lang w:val="en-GB"/>
        </w:rPr>
        <w:t>CS6 to CS11</w:t>
      </w:r>
      <w:r w:rsidR="00156B48" w:rsidRPr="00BA2117">
        <w:rPr>
          <w:lang w:val="en-GB"/>
        </w:rPr>
        <w:t>, we focus</w:t>
      </w:r>
      <w:r w:rsidR="00A03441" w:rsidRPr="00BA2117">
        <w:rPr>
          <w:lang w:val="en-GB"/>
        </w:rPr>
        <w:t>ed</w:t>
      </w:r>
      <w:r w:rsidR="00156B48" w:rsidRPr="00BA2117">
        <w:rPr>
          <w:lang w:val="en-GB"/>
        </w:rPr>
        <w:t xml:space="preserve"> on green-H</w:t>
      </w:r>
      <w:r w:rsidR="00156B48" w:rsidRPr="00BA2117">
        <w:rPr>
          <w:vertAlign w:val="subscript"/>
          <w:lang w:val="en-GB"/>
        </w:rPr>
        <w:t>2</w:t>
      </w:r>
      <w:r w:rsidR="00156B48" w:rsidRPr="00BA2117">
        <w:rPr>
          <w:lang w:val="en-GB"/>
        </w:rPr>
        <w:t xml:space="preserve"> because</w:t>
      </w:r>
      <w:r w:rsidR="00A77E57" w:rsidRPr="00BA2117">
        <w:rPr>
          <w:lang w:val="en-GB"/>
        </w:rPr>
        <w:t xml:space="preserve"> of the grow</w:t>
      </w:r>
      <w:r w:rsidR="00156B48" w:rsidRPr="00BA2117">
        <w:rPr>
          <w:lang w:val="en-GB"/>
        </w:rPr>
        <w:t>i</w:t>
      </w:r>
      <w:r w:rsidR="00A77E57" w:rsidRPr="00BA2117">
        <w:rPr>
          <w:lang w:val="en-GB"/>
        </w:rPr>
        <w:t>ng importance of renewable energy with</w:t>
      </w:r>
      <w:r w:rsidR="004E5AC0" w:rsidRPr="00BA2117">
        <w:rPr>
          <w:lang w:val="en-GB"/>
        </w:rPr>
        <w:t xml:space="preserve"> a</w:t>
      </w:r>
      <w:r w:rsidR="00A77E57" w:rsidRPr="00BA2117">
        <w:rPr>
          <w:lang w:val="en-GB"/>
        </w:rPr>
        <w:t xml:space="preserve"> reduced carbon footprint </w:t>
      </w:r>
      <w:r w:rsidR="00A77E57" w:rsidRPr="00BA2117">
        <w:rPr>
          <w:lang w:val="en-GB"/>
        </w:rPr>
        <w:lastRenderedPageBreak/>
        <w:t>and of current regulations and fuel blending mandates requiring "green" alternative fuels</w:t>
      </w:r>
      <w:r w:rsidR="00B11F78" w:rsidRPr="00BA2117">
        <w:rPr>
          <w:lang w:val="en-GB"/>
        </w:rPr>
        <w:t xml:space="preserve"> </w:t>
      </w:r>
      <w:r w:rsidR="00A77E57" w:rsidRPr="00BA2117">
        <w:rPr>
          <w:lang w:val="en-GB"/>
        </w:rPr>
        <w:t>with the lowest carbon footprint</w:t>
      </w:r>
      <w:r w:rsidR="0063125F" w:rsidRPr="00BA2117">
        <w:rPr>
          <w:lang w:val="en-GB"/>
        </w:rPr>
        <w:t>.</w:t>
      </w:r>
      <w:r w:rsidR="00156B48" w:rsidRPr="00BA2117">
        <w:rPr>
          <w:lang w:val="en-GB"/>
        </w:rPr>
        <w:t xml:space="preserve"> </w:t>
      </w:r>
      <w:r w:rsidR="00F170F7" w:rsidRPr="00BA2117">
        <w:rPr>
          <w:lang w:val="en-GB"/>
        </w:rPr>
        <w:t xml:space="preserve">If </w:t>
      </w:r>
      <w:r w:rsidR="00785CF0" w:rsidRPr="00BA2117">
        <w:rPr>
          <w:lang w:val="en-GB"/>
        </w:rPr>
        <w:t xml:space="preserve">the price of </w:t>
      </w:r>
      <w:r w:rsidR="00F170F7" w:rsidRPr="00BA2117">
        <w:rPr>
          <w:lang w:val="en-GB"/>
        </w:rPr>
        <w:t>green-H</w:t>
      </w:r>
      <w:r w:rsidR="00F170F7" w:rsidRPr="00BA2117">
        <w:rPr>
          <w:vertAlign w:val="subscript"/>
          <w:lang w:val="en-GB"/>
        </w:rPr>
        <w:t>2</w:t>
      </w:r>
      <w:r w:rsidR="00F170F7" w:rsidRPr="00BA2117">
        <w:rPr>
          <w:lang w:val="en-GB"/>
        </w:rPr>
        <w:t xml:space="preserve"> </w:t>
      </w:r>
      <w:r w:rsidR="00FC0A0A" w:rsidRPr="00BA2117">
        <w:rPr>
          <w:lang w:val="en-GB"/>
        </w:rPr>
        <w:t>decreases</w:t>
      </w:r>
      <w:r w:rsidR="00F170F7" w:rsidRPr="00BA2117">
        <w:rPr>
          <w:lang w:val="en-GB"/>
        </w:rPr>
        <w:t xml:space="preserve"> from </w:t>
      </w:r>
      <w:r w:rsidR="0041511D" w:rsidRPr="00BA2117">
        <w:rPr>
          <w:lang w:val="en-GB"/>
        </w:rPr>
        <w:t xml:space="preserve">the </w:t>
      </w:r>
      <w:r w:rsidR="00F170F7" w:rsidRPr="00BA2117">
        <w:rPr>
          <w:lang w:val="en-GB"/>
        </w:rPr>
        <w:t xml:space="preserve">current </w:t>
      </w:r>
      <w:r w:rsidR="007F720A" w:rsidRPr="00BA2117">
        <w:rPr>
          <w:lang w:val="en-GB"/>
        </w:rPr>
        <w:t xml:space="preserve">7.25 </w:t>
      </w:r>
      <w:r w:rsidR="005845A8" w:rsidRPr="00BA2117">
        <w:rPr>
          <w:lang w:val="en-GB"/>
        </w:rPr>
        <w:t xml:space="preserve">(CS6) </w:t>
      </w:r>
      <w:r w:rsidR="007F720A" w:rsidRPr="00BA2117">
        <w:rPr>
          <w:lang w:val="en-GB"/>
        </w:rPr>
        <w:t>to 3.5</w:t>
      </w:r>
      <w:r w:rsidR="00E44E6E" w:rsidRPr="00BA2117">
        <w:rPr>
          <w:lang w:val="en-GB"/>
        </w:rPr>
        <w:t>0</w:t>
      </w:r>
      <w:r w:rsidR="007F720A" w:rsidRPr="00BA2117">
        <w:rPr>
          <w:lang w:val="en-GB"/>
        </w:rPr>
        <w:t xml:space="preserve"> (</w:t>
      </w:r>
      <w:r w:rsidR="00425DC2" w:rsidRPr="00BA2117">
        <w:rPr>
          <w:lang w:val="en-GB"/>
        </w:rPr>
        <w:t>blue-H</w:t>
      </w:r>
      <w:r w:rsidR="00425DC2" w:rsidRPr="00BA2117">
        <w:rPr>
          <w:vertAlign w:val="subscript"/>
          <w:lang w:val="en-GB"/>
        </w:rPr>
        <w:t>2</w:t>
      </w:r>
      <w:r w:rsidR="00B803E0" w:rsidRPr="00BA2117">
        <w:rPr>
          <w:lang w:val="en-GB"/>
        </w:rPr>
        <w:t>;</w:t>
      </w:r>
      <w:r w:rsidR="00366460" w:rsidRPr="00BA2117">
        <w:rPr>
          <w:lang w:val="en-GB"/>
        </w:rPr>
        <w:t xml:space="preserve"> </w:t>
      </w:r>
      <w:r w:rsidR="00425DC2" w:rsidRPr="00BA2117">
        <w:rPr>
          <w:lang w:val="en-GB"/>
        </w:rPr>
        <w:t xml:space="preserve">CS7) or </w:t>
      </w:r>
      <w:r w:rsidR="00366460" w:rsidRPr="00BA2117">
        <w:rPr>
          <w:lang w:val="en-GB"/>
        </w:rPr>
        <w:t>1.5</w:t>
      </w:r>
      <w:r w:rsidR="00E44E6E" w:rsidRPr="00BA2117">
        <w:rPr>
          <w:lang w:val="en-GB"/>
        </w:rPr>
        <w:t>0</w:t>
      </w:r>
      <w:r w:rsidR="00366460" w:rsidRPr="00BA2117">
        <w:rPr>
          <w:lang w:val="en-GB"/>
        </w:rPr>
        <w:t xml:space="preserve"> $/kg</w:t>
      </w:r>
      <w:r w:rsidR="00366460" w:rsidRPr="00BA2117">
        <w:rPr>
          <w:vertAlign w:val="subscript"/>
          <w:lang w:val="en-GB"/>
        </w:rPr>
        <w:t>H2</w:t>
      </w:r>
      <w:r w:rsidR="00366460" w:rsidRPr="00BA2117">
        <w:rPr>
          <w:lang w:val="en-GB"/>
        </w:rPr>
        <w:t xml:space="preserve"> (</w:t>
      </w:r>
      <w:r w:rsidR="00425DC2" w:rsidRPr="00BA2117">
        <w:rPr>
          <w:lang w:val="en-GB"/>
        </w:rPr>
        <w:t>grey-H</w:t>
      </w:r>
      <w:r w:rsidR="00425DC2" w:rsidRPr="00BA2117">
        <w:rPr>
          <w:vertAlign w:val="subscript"/>
          <w:lang w:val="en-GB"/>
        </w:rPr>
        <w:t>2</w:t>
      </w:r>
      <w:r w:rsidR="00D35066" w:rsidRPr="00BA2117">
        <w:rPr>
          <w:lang w:val="en-GB"/>
        </w:rPr>
        <w:t xml:space="preserve">; </w:t>
      </w:r>
      <w:r w:rsidR="00425DC2" w:rsidRPr="00BA2117">
        <w:rPr>
          <w:lang w:val="en-GB"/>
        </w:rPr>
        <w:t>CS8), the MESP</w:t>
      </w:r>
      <w:r w:rsidR="007C70DB" w:rsidRPr="00BA2117">
        <w:rPr>
          <w:lang w:val="en-GB"/>
        </w:rPr>
        <w:t xml:space="preserve"> </w:t>
      </w:r>
      <w:r w:rsidR="00D35066" w:rsidRPr="00BA2117">
        <w:rPr>
          <w:lang w:val="en-GB"/>
        </w:rPr>
        <w:t xml:space="preserve">will </w:t>
      </w:r>
      <w:r w:rsidR="0023790A" w:rsidRPr="00BA2117">
        <w:rPr>
          <w:lang w:val="en-GB"/>
        </w:rPr>
        <w:t xml:space="preserve">decrease </w:t>
      </w:r>
      <w:r w:rsidR="00576150" w:rsidRPr="00BA2117">
        <w:rPr>
          <w:lang w:val="en-GB"/>
        </w:rPr>
        <w:t>correspondingly</w:t>
      </w:r>
      <w:r w:rsidR="0023790A" w:rsidRPr="00BA2117">
        <w:rPr>
          <w:lang w:val="en-GB"/>
        </w:rPr>
        <w:t xml:space="preserve">. </w:t>
      </w:r>
      <w:r w:rsidR="001A01F7" w:rsidRPr="00BA2117">
        <w:rPr>
          <w:lang w:val="en-GB"/>
        </w:rPr>
        <w:t>CS</w:t>
      </w:r>
      <w:r w:rsidR="00DD6C67" w:rsidRPr="00BA2117">
        <w:rPr>
          <w:lang w:val="en-GB"/>
        </w:rPr>
        <w:t>6</w:t>
      </w:r>
      <w:r w:rsidR="001A01F7" w:rsidRPr="00BA2117">
        <w:rPr>
          <w:lang w:val="en-GB"/>
        </w:rPr>
        <w:t xml:space="preserve"> reveals that </w:t>
      </w:r>
      <w:r w:rsidR="00DD6C67" w:rsidRPr="00BA2117">
        <w:rPr>
          <w:lang w:val="en-GB"/>
        </w:rPr>
        <w:t xml:space="preserve">the </w:t>
      </w:r>
      <w:r w:rsidR="00F9270B" w:rsidRPr="00BA2117">
        <w:rPr>
          <w:lang w:val="en-GB"/>
        </w:rPr>
        <w:t>MESP</w:t>
      </w:r>
      <w:r w:rsidR="007D5B45" w:rsidRPr="00BA2117">
        <w:rPr>
          <w:lang w:val="en-GB"/>
        </w:rPr>
        <w:t xml:space="preserve"> should</w:t>
      </w:r>
      <w:r w:rsidR="0022089F" w:rsidRPr="00BA2117">
        <w:rPr>
          <w:lang w:val="en-GB"/>
        </w:rPr>
        <w:t xml:space="preserve"> be</w:t>
      </w:r>
      <w:r w:rsidR="006567C8" w:rsidRPr="00BA2117">
        <w:rPr>
          <w:lang w:val="en-GB"/>
        </w:rPr>
        <w:t xml:space="preserve"> at least</w:t>
      </w:r>
      <w:r w:rsidR="007D5B45" w:rsidRPr="00BA2117">
        <w:rPr>
          <w:lang w:val="en-GB"/>
        </w:rPr>
        <w:t xml:space="preserve"> 1.06 $/</w:t>
      </w:r>
      <w:r w:rsidR="008511E7" w:rsidRPr="00BA2117">
        <w:rPr>
          <w:lang w:val="en-GB"/>
        </w:rPr>
        <w:t>litre</w:t>
      </w:r>
      <w:r w:rsidR="007D5B45" w:rsidRPr="00BA2117">
        <w:rPr>
          <w:lang w:val="en-GB"/>
        </w:rPr>
        <w:t xml:space="preserve"> (</w:t>
      </w:r>
      <w:r w:rsidR="00D61DA1" w:rsidRPr="00BA2117">
        <w:rPr>
          <w:lang w:val="en-GB"/>
        </w:rPr>
        <w:t>against</w:t>
      </w:r>
      <w:r w:rsidR="007D5B45" w:rsidRPr="00BA2117">
        <w:rPr>
          <w:lang w:val="en-GB"/>
        </w:rPr>
        <w:t xml:space="preserve"> </w:t>
      </w:r>
      <w:r w:rsidR="008511E7" w:rsidRPr="00BA2117">
        <w:rPr>
          <w:lang w:val="en-GB"/>
        </w:rPr>
        <w:t xml:space="preserve">the </w:t>
      </w:r>
      <w:r w:rsidR="00BA2117" w:rsidRPr="00BA2117">
        <w:rPr>
          <w:lang w:val="en-GB"/>
        </w:rPr>
        <w:t xml:space="preserve">current </w:t>
      </w:r>
      <w:r w:rsidR="00D61DA1" w:rsidRPr="00BA2117">
        <w:rPr>
          <w:lang w:val="en-GB"/>
        </w:rPr>
        <w:t>average</w:t>
      </w:r>
      <w:r w:rsidR="007D5B45" w:rsidRPr="00BA2117">
        <w:rPr>
          <w:lang w:val="en-GB"/>
        </w:rPr>
        <w:t xml:space="preserve"> </w:t>
      </w:r>
      <w:r w:rsidR="00D61DA1" w:rsidRPr="00BA2117">
        <w:rPr>
          <w:lang w:val="en-GB"/>
        </w:rPr>
        <w:t xml:space="preserve">of </w:t>
      </w:r>
      <w:r w:rsidR="007D5B45" w:rsidRPr="00BA2117">
        <w:rPr>
          <w:lang w:val="en-GB"/>
        </w:rPr>
        <w:t>0.8</w:t>
      </w:r>
      <w:r w:rsidR="006567C8" w:rsidRPr="00BA2117">
        <w:rPr>
          <w:lang w:val="en-GB"/>
        </w:rPr>
        <w:t>0</w:t>
      </w:r>
      <w:r w:rsidR="007D5B45" w:rsidRPr="00BA2117">
        <w:rPr>
          <w:lang w:val="en-GB"/>
        </w:rPr>
        <w:t xml:space="preserve"> $/</w:t>
      </w:r>
      <w:r w:rsidR="008511E7" w:rsidRPr="00BA2117">
        <w:rPr>
          <w:lang w:val="en-GB"/>
        </w:rPr>
        <w:t>litre</w:t>
      </w:r>
      <w:r w:rsidR="007D5B45" w:rsidRPr="00BA2117">
        <w:rPr>
          <w:lang w:val="en-GB"/>
        </w:rPr>
        <w:t xml:space="preserve">) to make </w:t>
      </w:r>
      <w:r w:rsidR="006E24FE" w:rsidRPr="00BA2117">
        <w:rPr>
          <w:lang w:val="en-GB"/>
        </w:rPr>
        <w:t>the biorefinery profitable</w:t>
      </w:r>
      <w:r w:rsidR="00B440DC" w:rsidRPr="00BA2117">
        <w:rPr>
          <w:lang w:val="en-GB"/>
        </w:rPr>
        <w:t xml:space="preserve"> </w:t>
      </w:r>
      <w:r w:rsidR="000D587B" w:rsidRPr="00BA2117">
        <w:rPr>
          <w:lang w:val="en-GB"/>
        </w:rPr>
        <w:t>when using</w:t>
      </w:r>
      <w:r w:rsidR="000249B4" w:rsidRPr="00BA2117">
        <w:rPr>
          <w:lang w:val="en-GB"/>
        </w:rPr>
        <w:t xml:space="preserve"> </w:t>
      </w:r>
      <w:r w:rsidR="007D5B45" w:rsidRPr="00BA2117">
        <w:rPr>
          <w:lang w:val="en-GB"/>
        </w:rPr>
        <w:t>green</w:t>
      </w:r>
      <w:r w:rsidR="00C25350" w:rsidRPr="00BA2117">
        <w:rPr>
          <w:lang w:val="en-GB"/>
        </w:rPr>
        <w:t>-H</w:t>
      </w:r>
      <w:r w:rsidR="00C25350" w:rsidRPr="00BA2117">
        <w:rPr>
          <w:vertAlign w:val="subscript"/>
          <w:lang w:val="en-GB"/>
        </w:rPr>
        <w:t>2</w:t>
      </w:r>
      <w:r w:rsidR="009C3F2E" w:rsidRPr="00BA2117">
        <w:rPr>
          <w:lang w:val="en-GB"/>
        </w:rPr>
        <w:t xml:space="preserve">. </w:t>
      </w:r>
      <w:r w:rsidR="002D3CC3" w:rsidRPr="00883769">
        <w:rPr>
          <w:lang w:val="en-GB"/>
        </w:rPr>
        <w:t>However</w:t>
      </w:r>
      <w:r w:rsidR="00E148AB" w:rsidRPr="00883769">
        <w:rPr>
          <w:lang w:val="en-GB"/>
        </w:rPr>
        <w:t xml:space="preserve">, if </w:t>
      </w:r>
      <w:r w:rsidR="002D3CC3" w:rsidRPr="00883769">
        <w:rPr>
          <w:lang w:val="en-GB"/>
        </w:rPr>
        <w:t>the</w:t>
      </w:r>
      <w:r w:rsidR="00550817" w:rsidRPr="00883769">
        <w:rPr>
          <w:lang w:val="en-GB"/>
        </w:rPr>
        <w:t xml:space="preserve"> </w:t>
      </w:r>
      <w:r w:rsidR="007F6456" w:rsidRPr="00883769">
        <w:rPr>
          <w:lang w:val="en-GB"/>
        </w:rPr>
        <w:t>MESP</w:t>
      </w:r>
      <w:r w:rsidR="00550817" w:rsidRPr="00883769">
        <w:rPr>
          <w:lang w:val="en-GB"/>
        </w:rPr>
        <w:t xml:space="preserve"> </w:t>
      </w:r>
      <w:r w:rsidR="00211493" w:rsidRPr="00883769">
        <w:rPr>
          <w:lang w:val="en-GB"/>
        </w:rPr>
        <w:t>r</w:t>
      </w:r>
      <w:r w:rsidR="008511E7" w:rsidRPr="00883769">
        <w:rPr>
          <w:lang w:val="en-GB"/>
        </w:rPr>
        <w:t>ises</w:t>
      </w:r>
      <w:r w:rsidR="00E148AB" w:rsidRPr="00883769">
        <w:rPr>
          <w:lang w:val="en-GB"/>
        </w:rPr>
        <w:t xml:space="preserve"> to 1.</w:t>
      </w:r>
      <w:r w:rsidR="004F4BF1" w:rsidRPr="00883769">
        <w:rPr>
          <w:lang w:val="en-GB"/>
        </w:rPr>
        <w:t>20</w:t>
      </w:r>
      <w:r w:rsidR="00E148AB" w:rsidRPr="00883769">
        <w:rPr>
          <w:lang w:val="en-GB"/>
        </w:rPr>
        <w:t xml:space="preserve"> $/</w:t>
      </w:r>
      <w:r w:rsidR="008511E7" w:rsidRPr="00883769">
        <w:rPr>
          <w:lang w:val="en-GB"/>
        </w:rPr>
        <w:t>litre</w:t>
      </w:r>
      <w:r w:rsidR="00D07EA8" w:rsidRPr="00883769">
        <w:rPr>
          <w:lang w:val="en-GB"/>
        </w:rPr>
        <w:t xml:space="preserve"> (CS10)</w:t>
      </w:r>
      <w:r w:rsidR="00E148AB" w:rsidRPr="00883769">
        <w:rPr>
          <w:lang w:val="en-GB"/>
        </w:rPr>
        <w:t xml:space="preserve">, the </w:t>
      </w:r>
      <w:r w:rsidR="00D07EA8" w:rsidRPr="00883769">
        <w:rPr>
          <w:lang w:val="en-GB"/>
        </w:rPr>
        <w:t xml:space="preserve">biorefinery can </w:t>
      </w:r>
      <w:r w:rsidR="00D35B3E" w:rsidRPr="00883769">
        <w:rPr>
          <w:lang w:val="en-GB"/>
        </w:rPr>
        <w:t>reach</w:t>
      </w:r>
      <w:r w:rsidR="001C3B12" w:rsidRPr="00883769">
        <w:rPr>
          <w:lang w:val="en-GB"/>
        </w:rPr>
        <w:t xml:space="preserve"> </w:t>
      </w:r>
      <w:r w:rsidR="00394E84" w:rsidRPr="00883769">
        <w:rPr>
          <w:lang w:val="en-GB"/>
        </w:rPr>
        <w:t>a</w:t>
      </w:r>
      <w:r w:rsidR="00211493" w:rsidRPr="00883769">
        <w:rPr>
          <w:lang w:val="en-GB"/>
        </w:rPr>
        <w:t xml:space="preserve"> break-even</w:t>
      </w:r>
      <w:r w:rsidR="003D2137" w:rsidRPr="00883769">
        <w:rPr>
          <w:lang w:val="en-GB"/>
        </w:rPr>
        <w:t xml:space="preserve"> point</w:t>
      </w:r>
      <w:r w:rsidR="00D07EA8" w:rsidRPr="00883769">
        <w:rPr>
          <w:lang w:val="en-GB"/>
        </w:rPr>
        <w:t xml:space="preserve"> </w:t>
      </w:r>
      <w:r w:rsidR="00D35B3E" w:rsidRPr="00883769">
        <w:rPr>
          <w:lang w:val="en-GB"/>
        </w:rPr>
        <w:t xml:space="preserve">and it can tolerate </w:t>
      </w:r>
      <w:r w:rsidR="008511E7" w:rsidRPr="00883769">
        <w:rPr>
          <w:lang w:val="en-GB"/>
        </w:rPr>
        <w:t>a</w:t>
      </w:r>
      <w:r w:rsidR="004F4BF1" w:rsidRPr="00883769">
        <w:rPr>
          <w:lang w:val="en-GB"/>
        </w:rPr>
        <w:t xml:space="preserve"> much higher</w:t>
      </w:r>
      <w:r w:rsidR="00D07EA8" w:rsidRPr="00883769">
        <w:rPr>
          <w:lang w:val="en-GB"/>
        </w:rPr>
        <w:t xml:space="preserve"> </w:t>
      </w:r>
      <w:r w:rsidR="00D95DAB" w:rsidRPr="00883769">
        <w:rPr>
          <w:lang w:val="en-GB"/>
        </w:rPr>
        <w:t>MGHP</w:t>
      </w:r>
      <w:r w:rsidR="00126300" w:rsidRPr="00883769">
        <w:rPr>
          <w:lang w:val="en-GB"/>
        </w:rPr>
        <w:t xml:space="preserve"> of</w:t>
      </w:r>
      <w:r w:rsidR="00BE4846" w:rsidRPr="00883769">
        <w:rPr>
          <w:lang w:val="en-GB"/>
        </w:rPr>
        <w:t xml:space="preserve"> </w:t>
      </w:r>
      <w:r w:rsidR="004F4BF1" w:rsidRPr="00883769">
        <w:rPr>
          <w:lang w:val="en-GB"/>
        </w:rPr>
        <w:t>8.93</w:t>
      </w:r>
      <w:r w:rsidR="00D07EA8" w:rsidRPr="00883769">
        <w:rPr>
          <w:lang w:val="en-GB"/>
        </w:rPr>
        <w:t xml:space="preserve"> $/kg</w:t>
      </w:r>
      <w:r w:rsidR="00D07EA8" w:rsidRPr="00883769">
        <w:rPr>
          <w:vertAlign w:val="subscript"/>
          <w:lang w:val="en-GB"/>
        </w:rPr>
        <w:t>H2</w:t>
      </w:r>
      <w:r w:rsidR="00BF322B" w:rsidRPr="00883769">
        <w:rPr>
          <w:lang w:val="en-GB"/>
        </w:rPr>
        <w:t xml:space="preserve">. </w:t>
      </w:r>
      <w:r w:rsidR="00B2430A" w:rsidRPr="00883769">
        <w:rPr>
          <w:lang w:val="en-GB"/>
        </w:rPr>
        <w:t xml:space="preserve">CS6 </w:t>
      </w:r>
      <w:r w:rsidR="00BF322B" w:rsidRPr="00883769">
        <w:rPr>
          <w:lang w:val="en-GB"/>
        </w:rPr>
        <w:t>indicate</w:t>
      </w:r>
      <w:r w:rsidR="00F52EB8">
        <w:rPr>
          <w:lang w:val="en-GB"/>
        </w:rPr>
        <w:t>s</w:t>
      </w:r>
      <w:r w:rsidR="00BF322B" w:rsidRPr="00883769">
        <w:rPr>
          <w:lang w:val="en-GB"/>
        </w:rPr>
        <w:t xml:space="preserve"> that</w:t>
      </w:r>
      <w:r w:rsidR="00D35B3E" w:rsidRPr="00883769">
        <w:rPr>
          <w:lang w:val="en-GB"/>
        </w:rPr>
        <w:t xml:space="preserve"> </w:t>
      </w:r>
      <w:r w:rsidR="00D07EA8" w:rsidRPr="00883769">
        <w:rPr>
          <w:lang w:val="en-GB"/>
        </w:rPr>
        <w:t>incentives</w:t>
      </w:r>
      <w:r w:rsidR="00A54A16" w:rsidRPr="00883769">
        <w:rPr>
          <w:lang w:val="en-GB"/>
        </w:rPr>
        <w:t xml:space="preserve"> </w:t>
      </w:r>
      <w:r w:rsidR="00C71AA2" w:rsidRPr="00883769">
        <w:rPr>
          <w:lang w:val="en-GB"/>
        </w:rPr>
        <w:t xml:space="preserve">on bioethanol </w:t>
      </w:r>
      <w:r w:rsidR="00A54A16" w:rsidRPr="00883769">
        <w:rPr>
          <w:lang w:val="en-GB"/>
        </w:rPr>
        <w:t xml:space="preserve">of at least </w:t>
      </w:r>
      <w:r w:rsidR="00A54A16" w:rsidRPr="00241927">
        <w:rPr>
          <w:lang w:val="en-GB"/>
        </w:rPr>
        <w:t>0.2</w:t>
      </w:r>
      <w:r w:rsidR="00332428" w:rsidRPr="00241927">
        <w:rPr>
          <w:lang w:val="en-GB"/>
        </w:rPr>
        <w:t>6</w:t>
      </w:r>
      <w:r w:rsidR="00A54A16" w:rsidRPr="00241927">
        <w:rPr>
          <w:lang w:val="en-GB"/>
        </w:rPr>
        <w:t xml:space="preserve"> $/</w:t>
      </w:r>
      <w:r w:rsidR="00332428" w:rsidRPr="00241927">
        <w:rPr>
          <w:lang w:val="en-GB"/>
        </w:rPr>
        <w:t>litre</w:t>
      </w:r>
      <w:r w:rsidR="0034142B" w:rsidRPr="00883769">
        <w:rPr>
          <w:lang w:val="en-GB"/>
        </w:rPr>
        <w:t xml:space="preserve">, i.e., </w:t>
      </w:r>
      <w:r w:rsidR="005542F6" w:rsidRPr="00241927">
        <w:rPr>
          <w:lang w:val="en-GB"/>
        </w:rPr>
        <w:t>33</w:t>
      </w:r>
      <w:r w:rsidR="00332428" w:rsidRPr="00241927">
        <w:rPr>
          <w:lang w:val="en-GB"/>
        </w:rPr>
        <w:t>%</w:t>
      </w:r>
      <w:r w:rsidR="00332428" w:rsidRPr="00883769">
        <w:rPr>
          <w:lang w:val="en-GB"/>
        </w:rPr>
        <w:t xml:space="preserve"> of the current </w:t>
      </w:r>
      <w:r w:rsidR="00C85769">
        <w:rPr>
          <w:lang w:val="en-GB"/>
        </w:rPr>
        <w:t xml:space="preserve">bioethanol </w:t>
      </w:r>
      <w:r w:rsidR="00332428" w:rsidRPr="00883769">
        <w:rPr>
          <w:lang w:val="en-GB"/>
        </w:rPr>
        <w:t>average price</w:t>
      </w:r>
      <w:r w:rsidR="00DA740E">
        <w:rPr>
          <w:lang w:val="en-GB"/>
        </w:rPr>
        <w:t xml:space="preserve"> (</w:t>
      </w:r>
      <w:r w:rsidR="00F52EB8" w:rsidRPr="004079C4">
        <w:rPr>
          <w:lang w:val="en-GB"/>
        </w:rPr>
        <w:t>0.80 $/litre</w:t>
      </w:r>
      <w:r w:rsidR="00DA740E">
        <w:rPr>
          <w:lang w:val="en-GB"/>
        </w:rPr>
        <w:t>)</w:t>
      </w:r>
      <w:r w:rsidR="0034142B" w:rsidRPr="00883769">
        <w:rPr>
          <w:lang w:val="en-GB"/>
        </w:rPr>
        <w:t>,</w:t>
      </w:r>
      <w:r w:rsidR="00A73861" w:rsidRPr="00883769">
        <w:rPr>
          <w:lang w:val="en-GB"/>
        </w:rPr>
        <w:t xml:space="preserve"> </w:t>
      </w:r>
      <w:r w:rsidR="00F52EB8">
        <w:rPr>
          <w:lang w:val="en-GB"/>
        </w:rPr>
        <w:t>or even higher</w:t>
      </w:r>
      <w:r w:rsidR="00E24724">
        <w:rPr>
          <w:lang w:val="en-GB"/>
        </w:rPr>
        <w:t xml:space="preserve">, </w:t>
      </w:r>
      <w:r w:rsidR="00B56E96">
        <w:rPr>
          <w:lang w:val="en-GB"/>
        </w:rPr>
        <w:t>e.g.,</w:t>
      </w:r>
      <w:r w:rsidR="00E24724">
        <w:rPr>
          <w:lang w:val="en-GB"/>
        </w:rPr>
        <w:t xml:space="preserve"> </w:t>
      </w:r>
      <w:r w:rsidR="00B56E96">
        <w:rPr>
          <w:lang w:val="en-GB"/>
        </w:rPr>
        <w:t xml:space="preserve">0.40 </w:t>
      </w:r>
      <w:r w:rsidR="00B56E96" w:rsidRPr="00241927">
        <w:rPr>
          <w:lang w:val="en-GB"/>
        </w:rPr>
        <w:t>$/litre</w:t>
      </w:r>
      <w:r w:rsidR="00F52EB8">
        <w:rPr>
          <w:lang w:val="en-GB"/>
        </w:rPr>
        <w:t xml:space="preserve"> as </w:t>
      </w:r>
      <w:r w:rsidR="003C27F1">
        <w:rPr>
          <w:lang w:val="en-GB"/>
        </w:rPr>
        <w:t>assumed</w:t>
      </w:r>
      <w:r w:rsidR="00F52EB8">
        <w:rPr>
          <w:lang w:val="en-GB"/>
        </w:rPr>
        <w:t xml:space="preserve"> in CS10</w:t>
      </w:r>
      <w:r w:rsidR="004568CB">
        <w:rPr>
          <w:lang w:val="en-GB"/>
        </w:rPr>
        <w:t xml:space="preserve"> (Sweden case)</w:t>
      </w:r>
      <w:r w:rsidR="00F52EB8">
        <w:rPr>
          <w:lang w:val="en-GB"/>
        </w:rPr>
        <w:t xml:space="preserve">, </w:t>
      </w:r>
      <w:r w:rsidR="00D07EA8" w:rsidRPr="00883769">
        <w:rPr>
          <w:lang w:val="en-GB"/>
        </w:rPr>
        <w:t xml:space="preserve">can support the </w:t>
      </w:r>
      <w:r w:rsidR="0027740B" w:rsidRPr="00883769">
        <w:rPr>
          <w:lang w:val="en-GB"/>
        </w:rPr>
        <w:t>“greenest”</w:t>
      </w:r>
      <w:r w:rsidR="00D07EA8" w:rsidRPr="00883769">
        <w:rPr>
          <w:lang w:val="en-GB"/>
        </w:rPr>
        <w:t xml:space="preserve"> option. </w:t>
      </w:r>
      <w:r w:rsidR="000E1C57" w:rsidRPr="004079C4">
        <w:rPr>
          <w:lang w:val="en-GB"/>
        </w:rPr>
        <w:t>At</w:t>
      </w:r>
      <w:r w:rsidR="00605443" w:rsidRPr="004079C4">
        <w:rPr>
          <w:lang w:val="en-GB"/>
        </w:rPr>
        <w:t xml:space="preserve"> the current </w:t>
      </w:r>
      <w:r w:rsidR="006905F9" w:rsidRPr="004079C4">
        <w:rPr>
          <w:lang w:val="en-GB"/>
        </w:rPr>
        <w:t xml:space="preserve">average </w:t>
      </w:r>
      <w:r w:rsidR="00605443" w:rsidRPr="004079C4">
        <w:rPr>
          <w:lang w:val="en-GB"/>
        </w:rPr>
        <w:t xml:space="preserve">selling price </w:t>
      </w:r>
      <w:r w:rsidR="002B32AE" w:rsidRPr="004079C4">
        <w:rPr>
          <w:lang w:val="en-GB"/>
        </w:rPr>
        <w:t>of bioethanol</w:t>
      </w:r>
      <w:r w:rsidR="00394E84" w:rsidRPr="004079C4">
        <w:rPr>
          <w:lang w:val="en-GB"/>
        </w:rPr>
        <w:t>,</w:t>
      </w:r>
      <w:r w:rsidR="002B32AE" w:rsidRPr="004079C4">
        <w:rPr>
          <w:lang w:val="en-GB"/>
        </w:rPr>
        <w:t xml:space="preserve"> </w:t>
      </w:r>
      <w:r w:rsidR="00A73861" w:rsidRPr="004079C4">
        <w:rPr>
          <w:lang w:val="en-GB"/>
        </w:rPr>
        <w:t xml:space="preserve">the </w:t>
      </w:r>
      <w:r w:rsidR="00CD6FF8" w:rsidRPr="004079C4">
        <w:rPr>
          <w:lang w:val="en-GB"/>
        </w:rPr>
        <w:t>MGHP</w:t>
      </w:r>
      <w:r w:rsidR="002B32AE" w:rsidRPr="004079C4">
        <w:rPr>
          <w:lang w:val="en-GB"/>
        </w:rPr>
        <w:t xml:space="preserve"> is </w:t>
      </w:r>
      <w:r w:rsidR="00784747" w:rsidRPr="004079C4">
        <w:rPr>
          <w:lang w:val="en-GB"/>
        </w:rPr>
        <w:t>expected</w:t>
      </w:r>
      <w:r w:rsidR="002B32AE" w:rsidRPr="004079C4">
        <w:rPr>
          <w:lang w:val="en-GB"/>
        </w:rPr>
        <w:t xml:space="preserve"> </w:t>
      </w:r>
      <w:r w:rsidR="00B00CFE" w:rsidRPr="004079C4">
        <w:rPr>
          <w:lang w:val="en-GB"/>
        </w:rPr>
        <w:t xml:space="preserve">to </w:t>
      </w:r>
      <w:r w:rsidR="00B3210D" w:rsidRPr="004079C4">
        <w:rPr>
          <w:lang w:val="en-GB"/>
        </w:rPr>
        <w:t xml:space="preserve">almost </w:t>
      </w:r>
      <w:r w:rsidR="00B00CFE" w:rsidRPr="004079C4">
        <w:rPr>
          <w:lang w:val="en-GB"/>
        </w:rPr>
        <w:t>halve</w:t>
      </w:r>
      <w:r w:rsidR="002B32AE" w:rsidRPr="004079C4">
        <w:rPr>
          <w:lang w:val="en-GB"/>
        </w:rPr>
        <w:t xml:space="preserve"> </w:t>
      </w:r>
      <w:r w:rsidR="0096286E" w:rsidRPr="004079C4">
        <w:rPr>
          <w:lang w:val="en-GB"/>
        </w:rPr>
        <w:t xml:space="preserve">to get </w:t>
      </w:r>
      <w:r w:rsidR="005E4FBD" w:rsidRPr="004079C4">
        <w:rPr>
          <w:lang w:val="en-GB"/>
        </w:rPr>
        <w:t xml:space="preserve">a </w:t>
      </w:r>
      <w:r w:rsidR="0096286E" w:rsidRPr="004079C4">
        <w:rPr>
          <w:lang w:val="en-GB"/>
        </w:rPr>
        <w:t xml:space="preserve">profitable </w:t>
      </w:r>
      <w:r w:rsidR="00BE4846" w:rsidRPr="004079C4">
        <w:rPr>
          <w:lang w:val="en-GB"/>
        </w:rPr>
        <w:t>green-H</w:t>
      </w:r>
      <w:r w:rsidR="00BE4846" w:rsidRPr="004079C4">
        <w:rPr>
          <w:vertAlign w:val="subscript"/>
          <w:lang w:val="en-GB"/>
        </w:rPr>
        <w:t>2</w:t>
      </w:r>
      <w:r w:rsidR="00BE4846" w:rsidRPr="004079C4">
        <w:rPr>
          <w:lang w:val="en-GB"/>
        </w:rPr>
        <w:t>-based</w:t>
      </w:r>
      <w:r w:rsidR="00BE4846" w:rsidRPr="004079C4">
        <w:rPr>
          <w:vertAlign w:val="subscript"/>
          <w:lang w:val="en-GB"/>
        </w:rPr>
        <w:t xml:space="preserve"> </w:t>
      </w:r>
      <w:r w:rsidR="00A73861" w:rsidRPr="004079C4">
        <w:rPr>
          <w:lang w:val="en-GB"/>
        </w:rPr>
        <w:t>process</w:t>
      </w:r>
      <w:r w:rsidR="00BE4846" w:rsidRPr="004079C4">
        <w:rPr>
          <w:lang w:val="en-GB"/>
        </w:rPr>
        <w:t xml:space="preserve"> </w:t>
      </w:r>
      <w:r w:rsidR="00C0413C" w:rsidRPr="004079C4">
        <w:rPr>
          <w:lang w:val="en-GB"/>
        </w:rPr>
        <w:t>as</w:t>
      </w:r>
      <w:r w:rsidR="005542F6" w:rsidRPr="004079C4">
        <w:rPr>
          <w:lang w:val="en-GB"/>
        </w:rPr>
        <w:t xml:space="preserve"> shown</w:t>
      </w:r>
      <w:r w:rsidR="001E3663" w:rsidRPr="004079C4">
        <w:rPr>
          <w:lang w:val="en-GB"/>
        </w:rPr>
        <w:t xml:space="preserve"> </w:t>
      </w:r>
      <w:r w:rsidR="00C0413C" w:rsidRPr="004079C4">
        <w:rPr>
          <w:lang w:val="en-GB"/>
        </w:rPr>
        <w:t>in CS9. In the worst scenario (</w:t>
      </w:r>
      <w:r w:rsidR="00A73861" w:rsidRPr="004079C4">
        <w:rPr>
          <w:lang w:val="en-GB"/>
        </w:rPr>
        <w:t xml:space="preserve">i.e., the </w:t>
      </w:r>
      <w:r w:rsidR="00394E84" w:rsidRPr="004079C4">
        <w:rPr>
          <w:lang w:val="en-GB"/>
        </w:rPr>
        <w:t>US</w:t>
      </w:r>
      <w:r w:rsidR="00C0413C" w:rsidRPr="004079C4">
        <w:rPr>
          <w:lang w:val="en-GB"/>
        </w:rPr>
        <w:t xml:space="preserve"> </w:t>
      </w:r>
      <w:r w:rsidR="00D61DA1" w:rsidRPr="004079C4">
        <w:rPr>
          <w:lang w:val="en-GB"/>
        </w:rPr>
        <w:t>average price</w:t>
      </w:r>
      <w:r w:rsidR="00C828D0" w:rsidRPr="004079C4">
        <w:rPr>
          <w:lang w:val="en-GB"/>
        </w:rPr>
        <w:t xml:space="preserve"> </w:t>
      </w:r>
      <w:r w:rsidR="00A73861" w:rsidRPr="004079C4">
        <w:rPr>
          <w:lang w:val="en-GB"/>
        </w:rPr>
        <w:t>of</w:t>
      </w:r>
      <w:r w:rsidR="00C828D0" w:rsidRPr="004079C4">
        <w:rPr>
          <w:lang w:val="en-GB"/>
        </w:rPr>
        <w:t xml:space="preserve"> 0.6</w:t>
      </w:r>
      <w:r w:rsidR="00A73861" w:rsidRPr="004079C4">
        <w:rPr>
          <w:lang w:val="en-GB"/>
        </w:rPr>
        <w:t>0</w:t>
      </w:r>
      <w:r w:rsidR="00C828D0" w:rsidRPr="004079C4">
        <w:rPr>
          <w:lang w:val="en-GB"/>
        </w:rPr>
        <w:t xml:space="preserve"> $/</w:t>
      </w:r>
      <w:r w:rsidR="008511E7" w:rsidRPr="004079C4">
        <w:rPr>
          <w:lang w:val="en-GB"/>
        </w:rPr>
        <w:t>litre</w:t>
      </w:r>
      <w:r w:rsidR="00E603DA" w:rsidRPr="004079C4">
        <w:rPr>
          <w:lang w:val="en-GB"/>
        </w:rPr>
        <w:t>; CS11</w:t>
      </w:r>
      <w:r w:rsidR="00C828D0" w:rsidRPr="004079C4">
        <w:rPr>
          <w:lang w:val="en-GB"/>
        </w:rPr>
        <w:t xml:space="preserve">), the </w:t>
      </w:r>
      <w:r w:rsidR="00784747" w:rsidRPr="004079C4">
        <w:rPr>
          <w:lang w:val="en-GB"/>
        </w:rPr>
        <w:t>MGHP</w:t>
      </w:r>
      <w:r w:rsidR="00C828D0" w:rsidRPr="004079C4">
        <w:rPr>
          <w:lang w:val="en-GB"/>
        </w:rPr>
        <w:t xml:space="preserve"> must </w:t>
      </w:r>
      <w:r w:rsidR="00A73861" w:rsidRPr="004079C4">
        <w:rPr>
          <w:lang w:val="en-GB"/>
        </w:rPr>
        <w:t>drop</w:t>
      </w:r>
      <w:r w:rsidR="00C828D0" w:rsidRPr="004079C4">
        <w:rPr>
          <w:lang w:val="en-GB"/>
        </w:rPr>
        <w:t xml:space="preserve"> </w:t>
      </w:r>
      <w:r w:rsidR="000665D3" w:rsidRPr="004079C4">
        <w:rPr>
          <w:lang w:val="en-GB"/>
        </w:rPr>
        <w:t>to 1.</w:t>
      </w:r>
      <w:r w:rsidR="002B6CBA" w:rsidRPr="004079C4">
        <w:rPr>
          <w:lang w:val="en-GB"/>
        </w:rPr>
        <w:t>31</w:t>
      </w:r>
      <w:r w:rsidR="000665D3" w:rsidRPr="004079C4">
        <w:rPr>
          <w:lang w:val="en-GB"/>
        </w:rPr>
        <w:t xml:space="preserve"> $/kg</w:t>
      </w:r>
      <w:r w:rsidR="000665D3" w:rsidRPr="004079C4">
        <w:rPr>
          <w:vertAlign w:val="subscript"/>
          <w:lang w:val="en-GB"/>
        </w:rPr>
        <w:t>H2</w:t>
      </w:r>
      <w:r w:rsidR="000665D3" w:rsidRPr="004079C4">
        <w:rPr>
          <w:lang w:val="en-GB"/>
        </w:rPr>
        <w:t xml:space="preserve">, </w:t>
      </w:r>
      <w:r w:rsidR="004079C4" w:rsidRPr="004079C4">
        <w:rPr>
          <w:lang w:val="en-GB"/>
        </w:rPr>
        <w:t xml:space="preserve">i.e., </w:t>
      </w:r>
      <w:r w:rsidR="002B6CBA" w:rsidRPr="004079C4">
        <w:rPr>
          <w:lang w:val="en-GB"/>
        </w:rPr>
        <w:t>below</w:t>
      </w:r>
      <w:r w:rsidR="00C828D0" w:rsidRPr="004079C4">
        <w:rPr>
          <w:lang w:val="en-GB"/>
        </w:rPr>
        <w:t xml:space="preserve"> the current </w:t>
      </w:r>
      <w:r w:rsidR="002B6CBA" w:rsidRPr="004079C4">
        <w:rPr>
          <w:lang w:val="en-GB"/>
        </w:rPr>
        <w:t xml:space="preserve">price </w:t>
      </w:r>
      <w:r w:rsidR="00E603DA" w:rsidRPr="004079C4">
        <w:rPr>
          <w:lang w:val="en-GB"/>
        </w:rPr>
        <w:t xml:space="preserve">of </w:t>
      </w:r>
      <w:r w:rsidR="00C828D0" w:rsidRPr="004079C4">
        <w:rPr>
          <w:lang w:val="en-GB"/>
        </w:rPr>
        <w:t>grey-H</w:t>
      </w:r>
      <w:r w:rsidR="00C828D0" w:rsidRPr="004079C4">
        <w:rPr>
          <w:vertAlign w:val="subscript"/>
          <w:lang w:val="en-GB"/>
        </w:rPr>
        <w:t>2</w:t>
      </w:r>
      <w:r w:rsidR="00784747" w:rsidRPr="004079C4">
        <w:rPr>
          <w:lang w:val="en-GB"/>
        </w:rPr>
        <w:t xml:space="preserve"> </w:t>
      </w:r>
      <w:r w:rsidR="004079C4" w:rsidRPr="004079C4">
        <w:rPr>
          <w:lang w:val="en-GB"/>
        </w:rPr>
        <w:t>(</w:t>
      </w:r>
      <w:r w:rsidR="00DF27C8" w:rsidRPr="004079C4">
        <w:rPr>
          <w:lang w:val="en-GB"/>
        </w:rPr>
        <w:t>1.5</w:t>
      </w:r>
      <w:r w:rsidR="00ED2933" w:rsidRPr="004079C4">
        <w:rPr>
          <w:lang w:val="en-GB"/>
        </w:rPr>
        <w:t>0</w:t>
      </w:r>
      <w:r w:rsidR="00DF27C8" w:rsidRPr="004079C4">
        <w:rPr>
          <w:lang w:val="en-GB"/>
        </w:rPr>
        <w:t xml:space="preserve"> $/kg</w:t>
      </w:r>
      <w:r w:rsidR="00DF27C8" w:rsidRPr="004079C4">
        <w:rPr>
          <w:vertAlign w:val="subscript"/>
          <w:lang w:val="en-GB"/>
        </w:rPr>
        <w:t>H2</w:t>
      </w:r>
      <w:r w:rsidR="004079C4" w:rsidRPr="004079C4">
        <w:rPr>
          <w:lang w:val="en-GB"/>
        </w:rPr>
        <w:t>).</w:t>
      </w:r>
      <w:r w:rsidR="009675D8" w:rsidRPr="004079C4">
        <w:rPr>
          <w:lang w:val="en-GB"/>
        </w:rPr>
        <w:t xml:space="preserve"> </w:t>
      </w:r>
      <w:r w:rsidR="009E57E2" w:rsidRPr="004079C4">
        <w:rPr>
          <w:lang w:val="en-GB"/>
        </w:rPr>
        <w:t>Alt</w:t>
      </w:r>
      <w:r w:rsidR="00832C76" w:rsidRPr="004079C4">
        <w:rPr>
          <w:lang w:val="en-GB"/>
        </w:rPr>
        <w:t>hough</w:t>
      </w:r>
      <w:r w:rsidR="00C31B67" w:rsidRPr="004079C4">
        <w:rPr>
          <w:lang w:val="en-GB"/>
        </w:rPr>
        <w:t xml:space="preserve"> to date t</w:t>
      </w:r>
      <w:r w:rsidR="009675D8" w:rsidRPr="004079C4">
        <w:rPr>
          <w:lang w:val="en-GB"/>
        </w:rPr>
        <w:t>his ca</w:t>
      </w:r>
      <w:r w:rsidR="009E57E2" w:rsidRPr="004079C4">
        <w:rPr>
          <w:lang w:val="en-GB"/>
        </w:rPr>
        <w:t>se</w:t>
      </w:r>
      <w:r w:rsidR="009675D8" w:rsidRPr="004079C4">
        <w:rPr>
          <w:lang w:val="en-GB"/>
        </w:rPr>
        <w:t xml:space="preserve"> is not feasible</w:t>
      </w:r>
      <w:r w:rsidR="00C31B67" w:rsidRPr="004079C4">
        <w:rPr>
          <w:lang w:val="en-GB"/>
        </w:rPr>
        <w:t>, technolog</w:t>
      </w:r>
      <w:r w:rsidR="00832C76" w:rsidRPr="004079C4">
        <w:rPr>
          <w:lang w:val="en-GB"/>
        </w:rPr>
        <w:t>ical</w:t>
      </w:r>
      <w:r w:rsidR="00C31B67" w:rsidRPr="004079C4">
        <w:rPr>
          <w:lang w:val="en-GB"/>
        </w:rPr>
        <w:t xml:space="preserve"> developments </w:t>
      </w:r>
      <w:r w:rsidR="00AF69B8" w:rsidRPr="004079C4">
        <w:rPr>
          <w:lang w:val="en-GB"/>
        </w:rPr>
        <w:t>will likely make the production of</w:t>
      </w:r>
      <w:r w:rsidR="009675D8" w:rsidRPr="004079C4">
        <w:rPr>
          <w:lang w:val="en-GB"/>
        </w:rPr>
        <w:t xml:space="preserve"> green</w:t>
      </w:r>
      <w:r w:rsidR="00573D90" w:rsidRPr="004079C4">
        <w:rPr>
          <w:lang w:val="en-GB"/>
        </w:rPr>
        <w:t>-H</w:t>
      </w:r>
      <w:r w:rsidR="00573D90" w:rsidRPr="004079C4">
        <w:rPr>
          <w:vertAlign w:val="subscript"/>
          <w:lang w:val="en-GB"/>
        </w:rPr>
        <w:t>2</w:t>
      </w:r>
      <w:r w:rsidR="00573D90" w:rsidRPr="004079C4">
        <w:rPr>
          <w:lang w:val="en-GB"/>
        </w:rPr>
        <w:t xml:space="preserve"> </w:t>
      </w:r>
      <w:r w:rsidR="009675D8" w:rsidRPr="004079C4">
        <w:rPr>
          <w:lang w:val="en-GB"/>
        </w:rPr>
        <w:t xml:space="preserve">competitive </w:t>
      </w:r>
      <w:r w:rsidR="00DF27C8" w:rsidRPr="004079C4">
        <w:rPr>
          <w:lang w:val="en-GB"/>
        </w:rPr>
        <w:t>with</w:t>
      </w:r>
      <w:r w:rsidR="009675D8" w:rsidRPr="004079C4">
        <w:rPr>
          <w:lang w:val="en-GB"/>
        </w:rPr>
        <w:t xml:space="preserve"> </w:t>
      </w:r>
      <w:r w:rsidR="00AF69B8" w:rsidRPr="004079C4">
        <w:rPr>
          <w:lang w:val="en-GB"/>
        </w:rPr>
        <w:t xml:space="preserve">that of </w:t>
      </w:r>
      <w:r w:rsidR="009675D8" w:rsidRPr="004079C4">
        <w:rPr>
          <w:lang w:val="en-GB"/>
        </w:rPr>
        <w:t>grey-</w:t>
      </w:r>
      <w:r w:rsidR="00573D90" w:rsidRPr="004079C4">
        <w:rPr>
          <w:lang w:val="en-GB"/>
        </w:rPr>
        <w:t>H</w:t>
      </w:r>
      <w:r w:rsidR="00573D90" w:rsidRPr="004079C4">
        <w:rPr>
          <w:vertAlign w:val="subscript"/>
          <w:lang w:val="en-GB"/>
        </w:rPr>
        <w:t>2</w:t>
      </w:r>
      <w:r w:rsidR="00573D90" w:rsidRPr="004079C4">
        <w:rPr>
          <w:lang w:val="en-GB"/>
        </w:rPr>
        <w:t xml:space="preserve"> </w:t>
      </w:r>
      <w:r w:rsidR="00D95DAB" w:rsidRPr="004079C4">
        <w:rPr>
          <w:lang w:val="en-GB"/>
        </w:rPr>
        <w:t xml:space="preserve">in the next </w:t>
      </w:r>
      <w:r w:rsidR="005E4FBD" w:rsidRPr="004079C4">
        <w:rPr>
          <w:lang w:val="en-GB"/>
        </w:rPr>
        <w:t>decade</w:t>
      </w:r>
      <w:r w:rsidR="00D95DAB" w:rsidRPr="004079C4">
        <w:rPr>
          <w:lang w:val="en-GB"/>
        </w:rPr>
        <w:t>.</w:t>
      </w:r>
      <w:r w:rsidR="00091B09" w:rsidRPr="004079C4">
        <w:rPr>
          <w:lang w:val="en-GB"/>
        </w:rPr>
        <w:t xml:space="preserve"> </w:t>
      </w:r>
      <w:r w:rsidR="00127314" w:rsidRPr="008F0923">
        <w:rPr>
          <w:lang w:val="en-GB"/>
        </w:rPr>
        <w:t>The</w:t>
      </w:r>
      <w:r w:rsidR="002F646B" w:rsidRPr="008F0923">
        <w:rPr>
          <w:lang w:val="en-GB"/>
        </w:rPr>
        <w:t xml:space="preserve"> carbon footprint</w:t>
      </w:r>
      <w:r w:rsidR="00C860B4" w:rsidRPr="008F0923">
        <w:rPr>
          <w:lang w:val="en-GB"/>
        </w:rPr>
        <w:t xml:space="preserve"> of the proposed case studies</w:t>
      </w:r>
      <w:r w:rsidR="002F646B" w:rsidRPr="008F0923">
        <w:rPr>
          <w:lang w:val="en-GB"/>
        </w:rPr>
        <w:t xml:space="preserve"> and </w:t>
      </w:r>
      <w:r w:rsidR="00C85769">
        <w:rPr>
          <w:lang w:val="en-GB"/>
        </w:rPr>
        <w:t xml:space="preserve">the </w:t>
      </w:r>
      <w:r w:rsidR="005D74A5" w:rsidRPr="008F0923">
        <w:rPr>
          <w:lang w:val="en-GB"/>
        </w:rPr>
        <w:t xml:space="preserve">incorporation of a </w:t>
      </w:r>
      <w:r w:rsidR="002F646B" w:rsidRPr="008F0923">
        <w:rPr>
          <w:lang w:val="en-GB"/>
        </w:rPr>
        <w:t>carbon capture system will</w:t>
      </w:r>
      <w:r w:rsidR="00127314" w:rsidRPr="008F0923">
        <w:rPr>
          <w:lang w:val="en-GB"/>
        </w:rPr>
        <w:t xml:space="preserve"> be </w:t>
      </w:r>
      <w:r w:rsidR="005D74A5" w:rsidRPr="008F0923">
        <w:rPr>
          <w:lang w:val="en-GB"/>
        </w:rPr>
        <w:t>done</w:t>
      </w:r>
      <w:r w:rsidR="00380D77" w:rsidRPr="008F0923">
        <w:rPr>
          <w:lang w:val="en-GB"/>
        </w:rPr>
        <w:t xml:space="preserve"> in </w:t>
      </w:r>
      <w:r w:rsidR="00EA1EBB" w:rsidRPr="008F0923">
        <w:rPr>
          <w:lang w:val="en-GB"/>
        </w:rPr>
        <w:t xml:space="preserve">the </w:t>
      </w:r>
      <w:r w:rsidR="00380D77" w:rsidRPr="008F0923">
        <w:rPr>
          <w:lang w:val="en-GB"/>
        </w:rPr>
        <w:t>next studies</w:t>
      </w:r>
      <w:r w:rsidR="004A1083" w:rsidRPr="008F0923">
        <w:rPr>
          <w:lang w:val="en-GB"/>
        </w:rPr>
        <w:t>. Fur</w:t>
      </w:r>
      <w:r w:rsidR="00203067" w:rsidRPr="008F0923">
        <w:rPr>
          <w:lang w:val="en-GB"/>
        </w:rPr>
        <w:t>ther</w:t>
      </w:r>
      <w:r w:rsidR="00380D77" w:rsidRPr="008F0923">
        <w:rPr>
          <w:lang w:val="en-GB"/>
        </w:rPr>
        <w:t xml:space="preserve"> strategies to reduce the </w:t>
      </w:r>
      <w:r w:rsidR="00273350" w:rsidRPr="008F0923">
        <w:rPr>
          <w:lang w:val="en-GB"/>
        </w:rPr>
        <w:t>cost</w:t>
      </w:r>
      <w:r w:rsidR="00833A1A" w:rsidRPr="008F0923">
        <w:rPr>
          <w:lang w:val="en-GB"/>
        </w:rPr>
        <w:t>s</w:t>
      </w:r>
      <w:r w:rsidR="00840989" w:rsidRPr="008F0923">
        <w:rPr>
          <w:lang w:val="en-GB"/>
        </w:rPr>
        <w:t>,</w:t>
      </w:r>
      <w:r w:rsidR="00AD70E9">
        <w:rPr>
          <w:lang w:val="en-GB"/>
        </w:rPr>
        <w:t xml:space="preserve"> </w:t>
      </w:r>
      <w:r w:rsidR="00C85769">
        <w:rPr>
          <w:lang w:val="en-GB"/>
        </w:rPr>
        <w:t xml:space="preserve">such </w:t>
      </w:r>
      <w:r w:rsidR="00273350" w:rsidRPr="008F0923">
        <w:rPr>
          <w:lang w:val="en-GB"/>
        </w:rPr>
        <w:t>as internal recycl</w:t>
      </w:r>
      <w:r w:rsidR="00C7036A" w:rsidRPr="008F0923">
        <w:rPr>
          <w:lang w:val="en-GB"/>
        </w:rPr>
        <w:t>ing</w:t>
      </w:r>
      <w:r w:rsidR="00273350" w:rsidRPr="008F0923">
        <w:rPr>
          <w:lang w:val="en-GB"/>
        </w:rPr>
        <w:t xml:space="preserve"> of phenols as cation </w:t>
      </w:r>
      <w:r w:rsidR="00475981" w:rsidRPr="008F0923">
        <w:rPr>
          <w:lang w:val="en-GB"/>
        </w:rPr>
        <w:t>scavengers</w:t>
      </w:r>
      <w:r w:rsidR="00273350" w:rsidRPr="008F0923">
        <w:rPr>
          <w:lang w:val="en-GB"/>
        </w:rPr>
        <w:t xml:space="preserve"> </w:t>
      </w:r>
      <w:r w:rsidR="00C85769">
        <w:rPr>
          <w:lang w:val="en-GB"/>
        </w:rPr>
        <w:t>for</w:t>
      </w:r>
      <w:r w:rsidR="001B09A8" w:rsidRPr="008F0923">
        <w:rPr>
          <w:lang w:val="en-GB"/>
        </w:rPr>
        <w:t xml:space="preserve"> </w:t>
      </w:r>
      <w:r w:rsidR="00C85769" w:rsidRPr="008F0923">
        <w:rPr>
          <w:lang w:val="en-GB"/>
        </w:rPr>
        <w:t xml:space="preserve">feedstock </w:t>
      </w:r>
      <w:r w:rsidR="00833A1A" w:rsidRPr="008F0923">
        <w:rPr>
          <w:lang w:val="en-GB"/>
        </w:rPr>
        <w:t>pretreatment</w:t>
      </w:r>
      <w:r w:rsidR="008F0923" w:rsidRPr="008F0923">
        <w:rPr>
          <w:lang w:val="en-GB"/>
        </w:rPr>
        <w:t>, will be assessed</w:t>
      </w:r>
      <w:r w:rsidR="00B8702F" w:rsidRPr="008F0923">
        <w:rPr>
          <w:lang w:val="en-GB"/>
        </w:rPr>
        <w:t>.</w:t>
      </w:r>
    </w:p>
    <w:p w14:paraId="7727EA0F" w14:textId="77777777" w:rsidR="000132B5" w:rsidRDefault="000132B5" w:rsidP="000132B5">
      <w:pPr>
        <w:pStyle w:val="Els-reference-head"/>
      </w:pPr>
      <w:r>
        <w:t>Acknowledgements</w:t>
      </w:r>
    </w:p>
    <w:p w14:paraId="514B33CA" w14:textId="0D49C7A9" w:rsidR="000132B5" w:rsidRDefault="00BD0512" w:rsidP="000132B5">
      <w:pPr>
        <w:pStyle w:val="Els-body-text"/>
      </w:pPr>
      <w:r>
        <w:t>The Research Council of Norway supported this work</w:t>
      </w:r>
      <w:r w:rsidR="000132B5" w:rsidRPr="00114CB7">
        <w:t xml:space="preserve"> through </w:t>
      </w:r>
      <w:r w:rsidR="00741A1B">
        <w:t>grant</w:t>
      </w:r>
      <w:r w:rsidR="000132B5" w:rsidRPr="00114CB7">
        <w:t xml:space="preserve"> no. 257622 (Bio4Fuels) and 268002 (Enzymes4Fuels)</w:t>
      </w:r>
      <w:r w:rsidR="000132B5">
        <w:t>.</w:t>
      </w:r>
    </w:p>
    <w:p w14:paraId="144DE6BF" w14:textId="608D0AD6" w:rsidR="008D2649" w:rsidRDefault="008D2649" w:rsidP="008D2649">
      <w:pPr>
        <w:pStyle w:val="Els-reference-head"/>
      </w:pPr>
      <w:r>
        <w:t>References</w:t>
      </w:r>
    </w:p>
    <w:p w14:paraId="258C7E6F" w14:textId="3328F8DF" w:rsidR="00C358C3" w:rsidRDefault="00C358C3" w:rsidP="00AA2D4A">
      <w:pPr>
        <w:pStyle w:val="Els-referenceno-number"/>
        <w:jc w:val="both"/>
      </w:pPr>
      <w:r>
        <w:t>J.M.M</w:t>
      </w:r>
      <w:r w:rsidR="00526BFC">
        <w:t>.</w:t>
      </w:r>
      <w:r>
        <w:t xml:space="preserve"> Arcos and D.M.F. Santos, </w:t>
      </w:r>
      <w:r w:rsidR="00AA2D4A">
        <w:t>2023</w:t>
      </w:r>
      <w:r w:rsidR="008F2288">
        <w:t>.</w:t>
      </w:r>
      <w:r w:rsidR="00AA2D4A">
        <w:t xml:space="preserve"> The </w:t>
      </w:r>
      <w:r w:rsidR="00AA5F46">
        <w:t>h</w:t>
      </w:r>
      <w:r w:rsidR="00AA2D4A">
        <w:t xml:space="preserve">ydrogen </w:t>
      </w:r>
      <w:r w:rsidR="00AA5F46">
        <w:t>c</w:t>
      </w:r>
      <w:r w:rsidR="00AA2D4A">
        <w:t xml:space="preserve">olor </w:t>
      </w:r>
      <w:r w:rsidR="00AA5F46">
        <w:t>s</w:t>
      </w:r>
      <w:r w:rsidR="00AA2D4A">
        <w:t>pectrum: Techno-</w:t>
      </w:r>
      <w:r w:rsidR="00AA5F46">
        <w:t>e</w:t>
      </w:r>
      <w:r w:rsidR="00AA2D4A">
        <w:t xml:space="preserve">conomic </w:t>
      </w:r>
      <w:r w:rsidR="00AA5F46">
        <w:t>a</w:t>
      </w:r>
      <w:r w:rsidR="00AA2D4A">
        <w:t xml:space="preserve">nalysis of the </w:t>
      </w:r>
      <w:r w:rsidR="00AA5F46">
        <w:t>a</w:t>
      </w:r>
      <w:r w:rsidR="00AA2D4A">
        <w:t xml:space="preserve">vailable </w:t>
      </w:r>
      <w:r w:rsidR="00AA5F46">
        <w:t>t</w:t>
      </w:r>
      <w:r w:rsidR="00AA2D4A">
        <w:t xml:space="preserve">echnologies for </w:t>
      </w:r>
      <w:r w:rsidR="00AA5F46">
        <w:t>h</w:t>
      </w:r>
      <w:r w:rsidR="00AA2D4A">
        <w:t xml:space="preserve">ydrogen </w:t>
      </w:r>
      <w:r w:rsidR="00AA5F46">
        <w:t>p</w:t>
      </w:r>
      <w:r w:rsidR="00AA2D4A">
        <w:t>roduction</w:t>
      </w:r>
      <w:r w:rsidR="008F2288">
        <w:t>.</w:t>
      </w:r>
      <w:r w:rsidR="00AA2D4A">
        <w:t xml:space="preserve"> Gases, 3</w:t>
      </w:r>
      <w:r w:rsidR="00AA5F46">
        <w:t>(1)</w:t>
      </w:r>
      <w:r w:rsidR="00AA2D4A">
        <w:t>, 25</w:t>
      </w:r>
      <w:r w:rsidR="00A76D92">
        <w:t>-</w:t>
      </w:r>
      <w:r w:rsidR="00AA2D4A">
        <w:t>46.</w:t>
      </w:r>
    </w:p>
    <w:p w14:paraId="7EFB6C0F" w14:textId="7F139F1B" w:rsidR="006F6794" w:rsidRDefault="006F6794" w:rsidP="006F6794">
      <w:pPr>
        <w:pStyle w:val="Els-referenceno-number"/>
        <w:jc w:val="both"/>
      </w:pPr>
      <w:r>
        <w:t>D. Bbosa</w:t>
      </w:r>
      <w:r w:rsidR="00231D1F">
        <w:t>,</w:t>
      </w:r>
      <w:r>
        <w:t xml:space="preserve"> </w:t>
      </w:r>
      <w:r w:rsidR="00231D1F">
        <w:t>M. Mba-</w:t>
      </w:r>
      <w:r w:rsidR="00AD502D">
        <w:t>Wright, R.C. Brown, 2018</w:t>
      </w:r>
      <w:r w:rsidR="00AA5F46">
        <w:t>.</w:t>
      </w:r>
      <w:r w:rsidR="00AD502D">
        <w:t xml:space="preserve"> </w:t>
      </w:r>
      <w:r w:rsidR="00AD502D" w:rsidRPr="00AD502D">
        <w:t>More than ethanol: a techno-economic analysis of a corn stover-ethanol biorefinery integrated with a hydrothermal liquefaction process to convert lignin into biochemicals</w:t>
      </w:r>
      <w:r w:rsidR="008F2288">
        <w:t>.</w:t>
      </w:r>
      <w:r w:rsidR="00164155" w:rsidRPr="00164155">
        <w:t xml:space="preserve"> Biofuels, Bioprod</w:t>
      </w:r>
      <w:r w:rsidR="00164155">
        <w:t>ucts &amp;</w:t>
      </w:r>
      <w:r w:rsidR="00164155" w:rsidRPr="00164155">
        <w:t xml:space="preserve"> Bioref</w:t>
      </w:r>
      <w:r w:rsidR="00164155">
        <w:t>ining,</w:t>
      </w:r>
      <w:r w:rsidR="00164155" w:rsidRPr="00164155">
        <w:t xml:space="preserve"> 12</w:t>
      </w:r>
      <w:r w:rsidR="008A204D">
        <w:t>(3)</w:t>
      </w:r>
      <w:r w:rsidR="00164155">
        <w:t xml:space="preserve">, </w:t>
      </w:r>
      <w:r w:rsidR="00164155" w:rsidRPr="00164155">
        <w:t>497</w:t>
      </w:r>
      <w:r w:rsidR="00A76D92">
        <w:t>-</w:t>
      </w:r>
      <w:r w:rsidR="00164155" w:rsidRPr="00164155">
        <w:t>509</w:t>
      </w:r>
      <w:r w:rsidR="00A76D92">
        <w:t>.</w:t>
      </w:r>
    </w:p>
    <w:p w14:paraId="2BFCA92D" w14:textId="4C8D5AE6" w:rsidR="003E05A1" w:rsidRPr="00F4436C" w:rsidRDefault="003E05A1" w:rsidP="00A828A6">
      <w:pPr>
        <w:pStyle w:val="Els-referenceno-number"/>
        <w:jc w:val="both"/>
      </w:pPr>
      <w:r w:rsidRPr="00F4436C">
        <w:t>F. Bisotti, M. Gilardi, O. T. Berglihn, R. Tschentscher, V.G.H. Eijsink, A.</w:t>
      </w:r>
      <w:r w:rsidR="00A76D92">
        <w:t xml:space="preserve"> </w:t>
      </w:r>
      <w:r w:rsidRPr="00F4436C">
        <w:t>Várnai, B. Wittgens, 2023.</w:t>
      </w:r>
      <w:r w:rsidRPr="00F4436C">
        <w:rPr>
          <w:noProof w:val="0"/>
          <w:sz w:val="20"/>
        </w:rPr>
        <w:t xml:space="preserve"> </w:t>
      </w:r>
      <w:r w:rsidRPr="00F4436C">
        <w:t xml:space="preserve">Soft modelling of spruce conversion into bio-oil through pyrolysis – Note II: pyrolysis. </w:t>
      </w:r>
      <w:r w:rsidR="00EB40AA" w:rsidRPr="00F4436C">
        <w:t>Computer Aided Chemical Engineering</w:t>
      </w:r>
      <w:r w:rsidRPr="00F4436C">
        <w:t>, 52, 769-774.</w:t>
      </w:r>
    </w:p>
    <w:p w14:paraId="173D71A5" w14:textId="516C22F9" w:rsidR="00F4436C" w:rsidRPr="00F4436C" w:rsidRDefault="00F4436C" w:rsidP="00F4436C">
      <w:pPr>
        <w:pStyle w:val="Els-referenceno-number"/>
        <w:jc w:val="both"/>
      </w:pPr>
      <w:r w:rsidRPr="00F4436C">
        <w:t>F. Cherubini, 2010</w:t>
      </w:r>
      <w:r w:rsidR="004F26D8">
        <w:t>.</w:t>
      </w:r>
      <w:r w:rsidRPr="00F4436C">
        <w:t xml:space="preserve"> The biorefinery concept: Using biomass instead of oil for producing energy and chemicals</w:t>
      </w:r>
      <w:r w:rsidR="004A6C79">
        <w:t>.</w:t>
      </w:r>
      <w:r w:rsidRPr="00F4436C">
        <w:t xml:space="preserve"> Energy Conversion and Management, 51(7), 1412-1421</w:t>
      </w:r>
      <w:r w:rsidR="006C246B">
        <w:t>.</w:t>
      </w:r>
    </w:p>
    <w:p w14:paraId="7E1E8FB4" w14:textId="057CF968" w:rsidR="009600DE" w:rsidRPr="00F4436C" w:rsidRDefault="009600DE" w:rsidP="00A828A6">
      <w:pPr>
        <w:pStyle w:val="Els-referenceno-number"/>
        <w:jc w:val="both"/>
      </w:pPr>
      <w:r w:rsidRPr="00F4436C">
        <w:t xml:space="preserve">M. Gilardi, F. Bisotti, </w:t>
      </w:r>
      <w:r w:rsidR="003E05A1" w:rsidRPr="00F4436C">
        <w:t>O. T. Berglihn, R. Tschentscher, V.G.H. Eijsink, A.Várnai, B. Wittgens, 2023.</w:t>
      </w:r>
      <w:r w:rsidR="003E05A1" w:rsidRPr="00F4436C">
        <w:rPr>
          <w:noProof w:val="0"/>
          <w:sz w:val="20"/>
        </w:rPr>
        <w:t xml:space="preserve"> </w:t>
      </w:r>
      <w:r w:rsidR="003E05A1" w:rsidRPr="00F4436C">
        <w:t xml:space="preserve">Soft modelling of spruce conversion into bio-oil through pyrolysis – Note I: steam explosion and LPMO-activated enzymatic saccharification. </w:t>
      </w:r>
      <w:r w:rsidR="00EB40AA" w:rsidRPr="00F4436C">
        <w:t>Computer Aided Chemical Engineering</w:t>
      </w:r>
      <w:r w:rsidR="007850DD" w:rsidRPr="00F4436C">
        <w:t>,</w:t>
      </w:r>
      <w:r w:rsidR="003E05A1" w:rsidRPr="00F4436C">
        <w:t xml:space="preserve"> 52, 757-762. </w:t>
      </w:r>
    </w:p>
    <w:p w14:paraId="19B48F77" w14:textId="60AFD186" w:rsidR="00E47F0B" w:rsidRDefault="00190F77" w:rsidP="00A828A6">
      <w:pPr>
        <w:pStyle w:val="Els-referenceno-number"/>
        <w:jc w:val="both"/>
      </w:pPr>
      <w:r>
        <w:t xml:space="preserve">K.M. </w:t>
      </w:r>
      <w:r w:rsidR="00E47F0B" w:rsidRPr="00E47F0B">
        <w:t xml:space="preserve">Guthrie, 1974. Process </w:t>
      </w:r>
      <w:r w:rsidR="004A6C79">
        <w:t>p</w:t>
      </w:r>
      <w:r w:rsidR="00E47F0B" w:rsidRPr="00E47F0B">
        <w:t xml:space="preserve">lant </w:t>
      </w:r>
      <w:r w:rsidR="004A6C79">
        <w:t>e</w:t>
      </w:r>
      <w:r w:rsidR="00E47F0B" w:rsidRPr="00E47F0B">
        <w:t xml:space="preserve">stimating, </w:t>
      </w:r>
      <w:r w:rsidR="00DB6EB7">
        <w:t>e</w:t>
      </w:r>
      <w:r w:rsidR="00E47F0B" w:rsidRPr="00E47F0B">
        <w:t xml:space="preserve">valuation and </w:t>
      </w:r>
      <w:r w:rsidR="004A6C79">
        <w:t>c</w:t>
      </w:r>
      <w:r w:rsidR="00E47F0B" w:rsidRPr="00E47F0B">
        <w:t>ontrol</w:t>
      </w:r>
      <w:r w:rsidR="004A6C79">
        <w:t>.</w:t>
      </w:r>
      <w:r w:rsidR="00746C2D">
        <w:t xml:space="preserve"> ISBN</w:t>
      </w:r>
      <w:r w:rsidR="00F871CE">
        <w:t>:</w:t>
      </w:r>
      <w:r w:rsidR="00746C2D">
        <w:t xml:space="preserve"> </w:t>
      </w:r>
      <w:r w:rsidR="00746C2D" w:rsidRPr="00746C2D">
        <w:t>9780910460224</w:t>
      </w:r>
      <w:r w:rsidR="00F871CE">
        <w:t>,</w:t>
      </w:r>
      <w:r>
        <w:t xml:space="preserve"> </w:t>
      </w:r>
      <w:r w:rsidR="001E5E9B" w:rsidRPr="001E5E9B">
        <w:t>Craftsman Book Company</w:t>
      </w:r>
      <w:r w:rsidR="004762CB">
        <w:t xml:space="preserve"> of America</w:t>
      </w:r>
      <w:r w:rsidR="00606DA4">
        <w:t xml:space="preserve">, </w:t>
      </w:r>
      <w:r w:rsidR="00606DA4" w:rsidRPr="00606DA4">
        <w:t>Solana Beach, CA</w:t>
      </w:r>
      <w:r w:rsidR="00606DA4">
        <w:t>.</w:t>
      </w:r>
    </w:p>
    <w:p w14:paraId="74789F93" w14:textId="7E48DDAD" w:rsidR="004E7A2F" w:rsidRPr="00F4436C" w:rsidRDefault="004E7A2F" w:rsidP="00A828A6">
      <w:pPr>
        <w:pStyle w:val="Els-referenceno-number"/>
        <w:jc w:val="both"/>
      </w:pPr>
      <w:r w:rsidRPr="00F4436C">
        <w:t>L.D. Hansen</w:t>
      </w:r>
      <w:r w:rsidR="00857878" w:rsidRPr="00F4436C">
        <w:t>,</w:t>
      </w:r>
      <w:r w:rsidRPr="00F4436C">
        <w:t xml:space="preserve"> </w:t>
      </w:r>
      <w:r w:rsidR="00857878" w:rsidRPr="00F4436C">
        <w:t>M. Østensen, B. Arstad, R. Tschentscher, V.G.H. Eijsink, S.J. Horn, A. Várnai</w:t>
      </w:r>
      <w:r w:rsidRPr="00F4436C">
        <w:t>, 2022</w:t>
      </w:r>
      <w:r w:rsidR="00606DA4">
        <w:t>.</w:t>
      </w:r>
      <w:r w:rsidRPr="00F4436C">
        <w:t xml:space="preserve"> 2-Naphthol impregnation prior</w:t>
      </w:r>
      <w:r w:rsidR="006F1C4A" w:rsidRPr="00F4436C">
        <w:t xml:space="preserve"> </w:t>
      </w:r>
      <w:r w:rsidRPr="00F4436C">
        <w:t xml:space="preserve">to steam explosion promotes </w:t>
      </w:r>
      <w:r w:rsidR="007850DD" w:rsidRPr="00F4436C">
        <w:t>LPMO-assisted</w:t>
      </w:r>
      <w:r w:rsidRPr="00F4436C">
        <w:t xml:space="preserve"> enzymatic saccharification of spruce and yields high-purity lignin. ACS Sustainable Chemistry &amp; Engineering</w:t>
      </w:r>
      <w:r w:rsidR="00606DA4">
        <w:t>,</w:t>
      </w:r>
      <w:r w:rsidRPr="00F4436C">
        <w:t xml:space="preserve"> 10(16), 5233-5242</w:t>
      </w:r>
      <w:r w:rsidR="00572DEC">
        <w:t>.</w:t>
      </w:r>
    </w:p>
    <w:p w14:paraId="4B32D714" w14:textId="2462ED05" w:rsidR="00991AA3" w:rsidRDefault="00991AA3" w:rsidP="00575709">
      <w:pPr>
        <w:pStyle w:val="Els-referenceno-number"/>
        <w:jc w:val="both"/>
      </w:pPr>
      <w:r>
        <w:t>D. Humbird, R. Davis, L. Tao, C. Kinchin, D. Hsu, A. Aden,</w:t>
      </w:r>
      <w:r w:rsidR="001D7CAC" w:rsidRPr="001D7CAC">
        <w:t xml:space="preserve"> </w:t>
      </w:r>
      <w:r w:rsidR="001D7CAC">
        <w:t xml:space="preserve">P. Schoen, J. Lukas, B. Olthof, M. Worley, D. Sexton, D. Dudgeon, 2011, </w:t>
      </w:r>
      <w:r w:rsidR="00575709">
        <w:t xml:space="preserve">Process </w:t>
      </w:r>
      <w:r w:rsidR="00231BF9">
        <w:t>d</w:t>
      </w:r>
      <w:r w:rsidR="00575709">
        <w:t xml:space="preserve">esign and </w:t>
      </w:r>
      <w:r w:rsidR="00231BF9">
        <w:t>e</w:t>
      </w:r>
      <w:r w:rsidR="00575709">
        <w:t xml:space="preserve">conomics for </w:t>
      </w:r>
      <w:r w:rsidR="00231BF9">
        <w:t>b</w:t>
      </w:r>
      <w:r w:rsidR="00575709">
        <w:t xml:space="preserve">iochemical </w:t>
      </w:r>
      <w:r w:rsidR="00231BF9">
        <w:t>c</w:t>
      </w:r>
      <w:r w:rsidR="00575709">
        <w:t xml:space="preserve">onversion of </w:t>
      </w:r>
      <w:r w:rsidR="00231BF9">
        <w:t>l</w:t>
      </w:r>
      <w:r w:rsidR="00575709">
        <w:t xml:space="preserve">ignocellulosic </w:t>
      </w:r>
      <w:r w:rsidR="00231BF9">
        <w:t>b</w:t>
      </w:r>
      <w:r w:rsidR="00575709">
        <w:t xml:space="preserve">iomass to </w:t>
      </w:r>
      <w:r w:rsidR="00231BF9">
        <w:t>e</w:t>
      </w:r>
      <w:r w:rsidR="00575709">
        <w:t>thanol</w:t>
      </w:r>
      <w:r w:rsidR="00D42C27" w:rsidRPr="00D42C27">
        <w:t>: Dilute-acid pretreatment and enzymatic hydrolysis of corn stover</w:t>
      </w:r>
      <w:r w:rsidR="004A6C79">
        <w:t>.</w:t>
      </w:r>
      <w:r w:rsidR="00BA1587">
        <w:t xml:space="preserve"> </w:t>
      </w:r>
      <w:r w:rsidR="00D82510" w:rsidRPr="00D82510">
        <w:t>NREL technical report</w:t>
      </w:r>
      <w:r w:rsidR="00BA1587">
        <w:t xml:space="preserve"> </w:t>
      </w:r>
      <w:r w:rsidR="00575709">
        <w:t>NREL</w:t>
      </w:r>
      <w:r w:rsidR="004C69E2">
        <w:t>/TP-5100-47764</w:t>
      </w:r>
      <w:r w:rsidR="002B6A8C">
        <w:t>.</w:t>
      </w:r>
    </w:p>
    <w:p w14:paraId="0377B480" w14:textId="5405ED80" w:rsidR="007E7EBB" w:rsidRDefault="00D1440B" w:rsidP="00B6574B">
      <w:pPr>
        <w:pStyle w:val="Els-referenceno-number"/>
        <w:jc w:val="both"/>
      </w:pPr>
      <w:r>
        <w:rPr>
          <w:rStyle w:val="ui-provider"/>
        </w:rPr>
        <w:t xml:space="preserve">R. Turton, </w:t>
      </w:r>
      <w:r w:rsidR="007A6602" w:rsidRPr="007A6602">
        <w:t xml:space="preserve">J.A. Shaeiwitz, D. Bhattacharyya, </w:t>
      </w:r>
      <w:r w:rsidR="00BE5F5D">
        <w:rPr>
          <w:rStyle w:val="ui-provider"/>
        </w:rPr>
        <w:t xml:space="preserve">W.B. Whiting, </w:t>
      </w:r>
      <w:r>
        <w:rPr>
          <w:rStyle w:val="ui-provider"/>
        </w:rPr>
        <w:t>201</w:t>
      </w:r>
      <w:r w:rsidR="00416034">
        <w:rPr>
          <w:rStyle w:val="ui-provider"/>
        </w:rPr>
        <w:t>8</w:t>
      </w:r>
      <w:r>
        <w:rPr>
          <w:rStyle w:val="ui-provider"/>
        </w:rPr>
        <w:t xml:space="preserve">. Analysis, </w:t>
      </w:r>
      <w:r w:rsidR="00187A2B">
        <w:rPr>
          <w:rStyle w:val="ui-provider"/>
        </w:rPr>
        <w:t>s</w:t>
      </w:r>
      <w:r>
        <w:rPr>
          <w:rStyle w:val="ui-provider"/>
        </w:rPr>
        <w:t xml:space="preserve">ynthesis, and </w:t>
      </w:r>
      <w:r w:rsidR="00E01F9A">
        <w:rPr>
          <w:rStyle w:val="ui-provider"/>
        </w:rPr>
        <w:t>d</w:t>
      </w:r>
      <w:r>
        <w:rPr>
          <w:rStyle w:val="ui-provider"/>
        </w:rPr>
        <w:t xml:space="preserve">esign of </w:t>
      </w:r>
      <w:r w:rsidR="00E01F9A">
        <w:rPr>
          <w:rStyle w:val="ui-provider"/>
        </w:rPr>
        <w:t>c</w:t>
      </w:r>
      <w:r>
        <w:rPr>
          <w:rStyle w:val="ui-provider"/>
        </w:rPr>
        <w:t xml:space="preserve">hemical </w:t>
      </w:r>
      <w:r w:rsidR="00E01F9A">
        <w:rPr>
          <w:rStyle w:val="ui-provider"/>
        </w:rPr>
        <w:t>p</w:t>
      </w:r>
      <w:r>
        <w:rPr>
          <w:rStyle w:val="ui-provider"/>
        </w:rPr>
        <w:t>rocesses</w:t>
      </w:r>
      <w:r w:rsidR="00275F8A">
        <w:rPr>
          <w:rStyle w:val="ui-provider"/>
        </w:rPr>
        <w:t xml:space="preserve"> </w:t>
      </w:r>
      <w:r w:rsidR="00275F8A" w:rsidRPr="00275F8A">
        <w:rPr>
          <w:rStyle w:val="ui-provider"/>
        </w:rPr>
        <w:t>(International Series in the Physical and Chemical Engineering Sciences)</w:t>
      </w:r>
      <w:r w:rsidR="00E01F9A">
        <w:rPr>
          <w:rStyle w:val="ui-provider"/>
        </w:rPr>
        <w:t>.</w:t>
      </w:r>
      <w:r>
        <w:rPr>
          <w:rStyle w:val="ui-provider"/>
        </w:rPr>
        <w:t xml:space="preserve"> 5</w:t>
      </w:r>
      <w:r w:rsidRPr="00D1440B">
        <w:rPr>
          <w:rStyle w:val="ui-provider"/>
          <w:vertAlign w:val="superscript"/>
        </w:rPr>
        <w:t>th</w:t>
      </w:r>
      <w:r>
        <w:rPr>
          <w:rStyle w:val="ui-provider"/>
        </w:rPr>
        <w:t xml:space="preserve"> Edition,</w:t>
      </w:r>
      <w:r w:rsidR="00831E14">
        <w:rPr>
          <w:rStyle w:val="ui-provider"/>
        </w:rPr>
        <w:t xml:space="preserve"> </w:t>
      </w:r>
      <w:r w:rsidR="00831E14" w:rsidRPr="00416034">
        <w:t>ISBN-13: 9780134177403</w:t>
      </w:r>
      <w:r w:rsidR="00831E14">
        <w:t>,</w:t>
      </w:r>
      <w:r>
        <w:rPr>
          <w:rStyle w:val="ui-provider"/>
        </w:rPr>
        <w:t xml:space="preserve"> P</w:t>
      </w:r>
      <w:r w:rsidR="004B6C92">
        <w:rPr>
          <w:rStyle w:val="ui-provider"/>
        </w:rPr>
        <w:t>earson</w:t>
      </w:r>
      <w:r w:rsidR="00DE08F3">
        <w:rPr>
          <w:rStyle w:val="ui-provider"/>
        </w:rPr>
        <w:t xml:space="preserve"> Educ</w:t>
      </w:r>
      <w:r w:rsidR="00F871CE">
        <w:rPr>
          <w:rStyle w:val="ui-provider"/>
        </w:rPr>
        <w:t>a</w:t>
      </w:r>
      <w:r w:rsidR="00DE08F3">
        <w:rPr>
          <w:rStyle w:val="ui-provider"/>
        </w:rPr>
        <w:t>tion</w:t>
      </w:r>
      <w:r w:rsidR="00831E14">
        <w:rPr>
          <w:rStyle w:val="ui-provider"/>
        </w:rPr>
        <w:t xml:space="preserve"> Inc</w:t>
      </w:r>
      <w:r w:rsidR="00E63717">
        <w:rPr>
          <w:rStyle w:val="ui-provider"/>
        </w:rPr>
        <w:t>.</w:t>
      </w:r>
    </w:p>
    <w:p w14:paraId="66536C00" w14:textId="5E976318" w:rsidR="00EB52A0" w:rsidRDefault="00617817" w:rsidP="00AC7712">
      <w:pPr>
        <w:pStyle w:val="Els-referenceno-number"/>
        <w:jc w:val="both"/>
      </w:pPr>
      <w:r>
        <w:t xml:space="preserve">Webpage: </w:t>
      </w:r>
      <w:hyperlink r:id="rId14" w:history="1">
        <w:r w:rsidRPr="00620516">
          <w:rPr>
            <w:rStyle w:val="Hyperlink"/>
          </w:rPr>
          <w:t>https://ceskdata.com/</w:t>
        </w:r>
      </w:hyperlink>
      <w:r>
        <w:t xml:space="preserve"> (accessed </w:t>
      </w:r>
      <w:r w:rsidR="007E7EBB">
        <w:t>September 2023</w:t>
      </w:r>
      <w:r w:rsidR="00831E14">
        <w:t>)</w:t>
      </w:r>
    </w:p>
    <w:sectPr w:rsidR="00EB52A0"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B17B" w14:textId="77777777" w:rsidR="005A0D28" w:rsidRDefault="005A0D28">
      <w:r>
        <w:separator/>
      </w:r>
    </w:p>
  </w:endnote>
  <w:endnote w:type="continuationSeparator" w:id="0">
    <w:p w14:paraId="69DB2E9C" w14:textId="77777777" w:rsidR="005A0D28" w:rsidRDefault="005A0D28">
      <w:r>
        <w:continuationSeparator/>
      </w:r>
    </w:p>
  </w:endnote>
  <w:endnote w:type="continuationNotice" w:id="1">
    <w:p w14:paraId="18F8377F" w14:textId="77777777" w:rsidR="005A0D28" w:rsidRDefault="005A0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570" w14:textId="77777777" w:rsidR="005A0D28" w:rsidRDefault="005A0D28">
      <w:r>
        <w:separator/>
      </w:r>
    </w:p>
  </w:footnote>
  <w:footnote w:type="continuationSeparator" w:id="0">
    <w:p w14:paraId="76F7EF5F" w14:textId="77777777" w:rsidR="005A0D28" w:rsidRDefault="005A0D28">
      <w:r>
        <w:continuationSeparator/>
      </w:r>
    </w:p>
  </w:footnote>
  <w:footnote w:type="continuationNotice" w:id="1">
    <w:p w14:paraId="42F05E5D" w14:textId="77777777" w:rsidR="005A0D28" w:rsidRDefault="005A0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578AB74" w:rsidR="00DD3D9E" w:rsidRDefault="00DD3D9E">
    <w:pPr>
      <w:pStyle w:val="Header"/>
      <w:tabs>
        <w:tab w:val="clear" w:pos="7200"/>
        <w:tab w:val="right" w:pos="7088"/>
      </w:tabs>
    </w:pPr>
    <w:r>
      <w:rPr>
        <w:rStyle w:val="PageNumber"/>
      </w:rPr>
      <w:tab/>
    </w:r>
    <w:r>
      <w:rPr>
        <w:rStyle w:val="PageNumber"/>
        <w:i/>
      </w:rPr>
      <w:tab/>
    </w:r>
    <w:r w:rsidR="00A563CF">
      <w:rPr>
        <w:i/>
      </w:rPr>
      <w:t>M. Gilardi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924219D" w:rsidR="00DD3D9E" w:rsidRDefault="00FE1C84" w:rsidP="00851C28">
    <w:pPr>
      <w:pStyle w:val="Header"/>
      <w:tabs>
        <w:tab w:val="clear" w:pos="7200"/>
        <w:tab w:val="right" w:pos="7088"/>
      </w:tabs>
      <w:rPr>
        <w:sz w:val="24"/>
      </w:rPr>
    </w:pPr>
    <w:r w:rsidRPr="00FE1C84">
      <w:rPr>
        <w:i/>
      </w:rPr>
      <w:t>From laboratory scale to innovative spruce-based biorefinery. Note II: Preliminary techno-economic assessment</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BFB"/>
    <w:multiLevelType w:val="hybridMultilevel"/>
    <w:tmpl w:val="789C7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265637F"/>
    <w:multiLevelType w:val="hybridMultilevel"/>
    <w:tmpl w:val="7DF6B6F4"/>
    <w:lvl w:ilvl="0" w:tplc="EB50F472">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45E5F"/>
    <w:multiLevelType w:val="hybridMultilevel"/>
    <w:tmpl w:val="7EAC2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456185"/>
    <w:multiLevelType w:val="hybridMultilevel"/>
    <w:tmpl w:val="ED046F7E"/>
    <w:lvl w:ilvl="0" w:tplc="A72CE1D8">
      <w:start w:val="1"/>
      <w:numFmt w:val="bullet"/>
      <w:lvlText w:val=""/>
      <w:lvlJc w:val="left"/>
      <w:pPr>
        <w:ind w:left="720" w:hanging="360"/>
      </w:pPr>
      <w:rPr>
        <w:rFonts w:ascii="Symbol" w:hAnsi="Symbol"/>
      </w:rPr>
    </w:lvl>
    <w:lvl w:ilvl="1" w:tplc="A0268292">
      <w:start w:val="1"/>
      <w:numFmt w:val="bullet"/>
      <w:lvlText w:val=""/>
      <w:lvlJc w:val="left"/>
      <w:pPr>
        <w:ind w:left="720" w:hanging="360"/>
      </w:pPr>
      <w:rPr>
        <w:rFonts w:ascii="Symbol" w:hAnsi="Symbol"/>
      </w:rPr>
    </w:lvl>
    <w:lvl w:ilvl="2" w:tplc="7AC8D31E">
      <w:start w:val="1"/>
      <w:numFmt w:val="bullet"/>
      <w:lvlText w:val=""/>
      <w:lvlJc w:val="left"/>
      <w:pPr>
        <w:ind w:left="720" w:hanging="360"/>
      </w:pPr>
      <w:rPr>
        <w:rFonts w:ascii="Symbol" w:hAnsi="Symbol"/>
      </w:rPr>
    </w:lvl>
    <w:lvl w:ilvl="3" w:tplc="AEDA7B84">
      <w:start w:val="1"/>
      <w:numFmt w:val="bullet"/>
      <w:lvlText w:val=""/>
      <w:lvlJc w:val="left"/>
      <w:pPr>
        <w:ind w:left="720" w:hanging="360"/>
      </w:pPr>
      <w:rPr>
        <w:rFonts w:ascii="Symbol" w:hAnsi="Symbol"/>
      </w:rPr>
    </w:lvl>
    <w:lvl w:ilvl="4" w:tplc="EAA6AAE0">
      <w:start w:val="1"/>
      <w:numFmt w:val="bullet"/>
      <w:lvlText w:val=""/>
      <w:lvlJc w:val="left"/>
      <w:pPr>
        <w:ind w:left="720" w:hanging="360"/>
      </w:pPr>
      <w:rPr>
        <w:rFonts w:ascii="Symbol" w:hAnsi="Symbol"/>
      </w:rPr>
    </w:lvl>
    <w:lvl w:ilvl="5" w:tplc="D20827AC">
      <w:start w:val="1"/>
      <w:numFmt w:val="bullet"/>
      <w:lvlText w:val=""/>
      <w:lvlJc w:val="left"/>
      <w:pPr>
        <w:ind w:left="720" w:hanging="360"/>
      </w:pPr>
      <w:rPr>
        <w:rFonts w:ascii="Symbol" w:hAnsi="Symbol"/>
      </w:rPr>
    </w:lvl>
    <w:lvl w:ilvl="6" w:tplc="5AFA9BCE">
      <w:start w:val="1"/>
      <w:numFmt w:val="bullet"/>
      <w:lvlText w:val=""/>
      <w:lvlJc w:val="left"/>
      <w:pPr>
        <w:ind w:left="720" w:hanging="360"/>
      </w:pPr>
      <w:rPr>
        <w:rFonts w:ascii="Symbol" w:hAnsi="Symbol"/>
      </w:rPr>
    </w:lvl>
    <w:lvl w:ilvl="7" w:tplc="CF08E0D4">
      <w:start w:val="1"/>
      <w:numFmt w:val="bullet"/>
      <w:lvlText w:val=""/>
      <w:lvlJc w:val="left"/>
      <w:pPr>
        <w:ind w:left="720" w:hanging="360"/>
      </w:pPr>
      <w:rPr>
        <w:rFonts w:ascii="Symbol" w:hAnsi="Symbol"/>
      </w:rPr>
    </w:lvl>
    <w:lvl w:ilvl="8" w:tplc="D77431AC">
      <w:start w:val="1"/>
      <w:numFmt w:val="bullet"/>
      <w:lvlText w:val=""/>
      <w:lvlJc w:val="left"/>
      <w:pPr>
        <w:ind w:left="720" w:hanging="360"/>
      </w:pPr>
      <w:rPr>
        <w:rFonts w:ascii="Symbol" w:hAnsi="Symbol"/>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7974B93"/>
    <w:multiLevelType w:val="multilevel"/>
    <w:tmpl w:val="2C74C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E542C"/>
    <w:multiLevelType w:val="hybridMultilevel"/>
    <w:tmpl w:val="A984B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253D07"/>
    <w:multiLevelType w:val="hybridMultilevel"/>
    <w:tmpl w:val="E2684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1"/>
  </w:num>
  <w:num w:numId="6" w16cid:durableId="1660883641">
    <w:abstractNumId w:val="9"/>
  </w:num>
  <w:num w:numId="7" w16cid:durableId="1863349795">
    <w:abstractNumId w:val="16"/>
  </w:num>
  <w:num w:numId="8" w16cid:durableId="1750734252">
    <w:abstractNumId w:val="4"/>
  </w:num>
  <w:num w:numId="9" w16cid:durableId="203061615">
    <w:abstractNumId w:val="14"/>
  </w:num>
  <w:num w:numId="10" w16cid:durableId="1478497114">
    <w:abstractNumId w:val="20"/>
  </w:num>
  <w:num w:numId="11" w16cid:durableId="1896693444">
    <w:abstractNumId w:val="19"/>
  </w:num>
  <w:num w:numId="12" w16cid:durableId="774787662">
    <w:abstractNumId w:val="8"/>
  </w:num>
  <w:num w:numId="13" w16cid:durableId="1525900646">
    <w:abstractNumId w:val="12"/>
  </w:num>
  <w:num w:numId="14" w16cid:durableId="1455515963">
    <w:abstractNumId w:val="5"/>
  </w:num>
  <w:num w:numId="15" w16cid:durableId="446657998">
    <w:abstractNumId w:val="10"/>
  </w:num>
  <w:num w:numId="16" w16cid:durableId="322592235">
    <w:abstractNumId w:val="6"/>
  </w:num>
  <w:num w:numId="17" w16cid:durableId="596719075">
    <w:abstractNumId w:val="7"/>
  </w:num>
  <w:num w:numId="18" w16cid:durableId="886648604">
    <w:abstractNumId w:val="13"/>
  </w:num>
  <w:num w:numId="19" w16cid:durableId="480195816">
    <w:abstractNumId w:val="17"/>
  </w:num>
  <w:num w:numId="20" w16cid:durableId="1821968463">
    <w:abstractNumId w:val="21"/>
  </w:num>
  <w:num w:numId="21" w16cid:durableId="1290167211">
    <w:abstractNumId w:val="2"/>
  </w:num>
  <w:num w:numId="22" w16cid:durableId="1446658968">
    <w:abstractNumId w:val="18"/>
  </w:num>
  <w:num w:numId="23" w16cid:durableId="1685979639">
    <w:abstractNumId w:val="3"/>
  </w:num>
  <w:num w:numId="24" w16cid:durableId="952394694">
    <w:abstractNumId w:val="0"/>
  </w:num>
  <w:num w:numId="25" w16cid:durableId="60712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648"/>
    <w:rsid w:val="000015E7"/>
    <w:rsid w:val="00001A8C"/>
    <w:rsid w:val="00003D62"/>
    <w:rsid w:val="00005558"/>
    <w:rsid w:val="000058D0"/>
    <w:rsid w:val="0000743C"/>
    <w:rsid w:val="00007550"/>
    <w:rsid w:val="000118D5"/>
    <w:rsid w:val="00012054"/>
    <w:rsid w:val="00013250"/>
    <w:rsid w:val="000132B5"/>
    <w:rsid w:val="000139E4"/>
    <w:rsid w:val="0001402A"/>
    <w:rsid w:val="00014517"/>
    <w:rsid w:val="00014EB3"/>
    <w:rsid w:val="00015FF7"/>
    <w:rsid w:val="000160DB"/>
    <w:rsid w:val="000169BF"/>
    <w:rsid w:val="00016E7B"/>
    <w:rsid w:val="000171AF"/>
    <w:rsid w:val="0002332D"/>
    <w:rsid w:val="000249B4"/>
    <w:rsid w:val="0002518A"/>
    <w:rsid w:val="00025B3C"/>
    <w:rsid w:val="000264F0"/>
    <w:rsid w:val="000266A2"/>
    <w:rsid w:val="0003145C"/>
    <w:rsid w:val="00033A30"/>
    <w:rsid w:val="00033C78"/>
    <w:rsid w:val="00033D98"/>
    <w:rsid w:val="00036331"/>
    <w:rsid w:val="000365A2"/>
    <w:rsid w:val="00036E2C"/>
    <w:rsid w:val="0004120E"/>
    <w:rsid w:val="0004259C"/>
    <w:rsid w:val="0004277D"/>
    <w:rsid w:val="00042FB4"/>
    <w:rsid w:val="000432F7"/>
    <w:rsid w:val="0004338B"/>
    <w:rsid w:val="000446FC"/>
    <w:rsid w:val="00046290"/>
    <w:rsid w:val="0004661F"/>
    <w:rsid w:val="000503FD"/>
    <w:rsid w:val="000508EC"/>
    <w:rsid w:val="00051499"/>
    <w:rsid w:val="00056B54"/>
    <w:rsid w:val="00056E7E"/>
    <w:rsid w:val="00057818"/>
    <w:rsid w:val="00065077"/>
    <w:rsid w:val="0006543B"/>
    <w:rsid w:val="000665D3"/>
    <w:rsid w:val="000700C1"/>
    <w:rsid w:val="000716EC"/>
    <w:rsid w:val="0007578B"/>
    <w:rsid w:val="0007582E"/>
    <w:rsid w:val="00075CB5"/>
    <w:rsid w:val="00077D77"/>
    <w:rsid w:val="00077DFE"/>
    <w:rsid w:val="00080054"/>
    <w:rsid w:val="0008050A"/>
    <w:rsid w:val="00082D8C"/>
    <w:rsid w:val="00083951"/>
    <w:rsid w:val="0008540C"/>
    <w:rsid w:val="000865FB"/>
    <w:rsid w:val="00091B09"/>
    <w:rsid w:val="0009433E"/>
    <w:rsid w:val="00095F0A"/>
    <w:rsid w:val="00096AFD"/>
    <w:rsid w:val="00096CF6"/>
    <w:rsid w:val="00097146"/>
    <w:rsid w:val="000A2852"/>
    <w:rsid w:val="000A29D0"/>
    <w:rsid w:val="000A31A3"/>
    <w:rsid w:val="000A658A"/>
    <w:rsid w:val="000A68DB"/>
    <w:rsid w:val="000A7C32"/>
    <w:rsid w:val="000B4125"/>
    <w:rsid w:val="000B41E4"/>
    <w:rsid w:val="000B4D53"/>
    <w:rsid w:val="000B636C"/>
    <w:rsid w:val="000B63DD"/>
    <w:rsid w:val="000C2347"/>
    <w:rsid w:val="000C2489"/>
    <w:rsid w:val="000C2F46"/>
    <w:rsid w:val="000C3B67"/>
    <w:rsid w:val="000C3C7E"/>
    <w:rsid w:val="000C51D2"/>
    <w:rsid w:val="000C700E"/>
    <w:rsid w:val="000D0DC0"/>
    <w:rsid w:val="000D1E6C"/>
    <w:rsid w:val="000D2605"/>
    <w:rsid w:val="000D33AB"/>
    <w:rsid w:val="000D3D9B"/>
    <w:rsid w:val="000D4D22"/>
    <w:rsid w:val="000D5196"/>
    <w:rsid w:val="000D587B"/>
    <w:rsid w:val="000D622A"/>
    <w:rsid w:val="000D6429"/>
    <w:rsid w:val="000D7C8D"/>
    <w:rsid w:val="000E08EA"/>
    <w:rsid w:val="000E0B29"/>
    <w:rsid w:val="000E1C57"/>
    <w:rsid w:val="000E212C"/>
    <w:rsid w:val="000E55C8"/>
    <w:rsid w:val="000E7AF0"/>
    <w:rsid w:val="000F1532"/>
    <w:rsid w:val="000F2DC7"/>
    <w:rsid w:val="000F32E3"/>
    <w:rsid w:val="000F5BC8"/>
    <w:rsid w:val="000F7DD8"/>
    <w:rsid w:val="000F7F4B"/>
    <w:rsid w:val="00100859"/>
    <w:rsid w:val="00101496"/>
    <w:rsid w:val="001025FB"/>
    <w:rsid w:val="00104E6B"/>
    <w:rsid w:val="00113724"/>
    <w:rsid w:val="00113C9F"/>
    <w:rsid w:val="00114DEA"/>
    <w:rsid w:val="00117CDB"/>
    <w:rsid w:val="00123168"/>
    <w:rsid w:val="001238D2"/>
    <w:rsid w:val="00124A0F"/>
    <w:rsid w:val="001256BE"/>
    <w:rsid w:val="00126300"/>
    <w:rsid w:val="00127314"/>
    <w:rsid w:val="00127A2A"/>
    <w:rsid w:val="0013047C"/>
    <w:rsid w:val="00130F64"/>
    <w:rsid w:val="0013163F"/>
    <w:rsid w:val="00133243"/>
    <w:rsid w:val="00133383"/>
    <w:rsid w:val="00135542"/>
    <w:rsid w:val="00135AC6"/>
    <w:rsid w:val="0013712F"/>
    <w:rsid w:val="00137295"/>
    <w:rsid w:val="00140B87"/>
    <w:rsid w:val="0014246E"/>
    <w:rsid w:val="00143D89"/>
    <w:rsid w:val="00143E91"/>
    <w:rsid w:val="001457BB"/>
    <w:rsid w:val="0014692F"/>
    <w:rsid w:val="00151819"/>
    <w:rsid w:val="00152614"/>
    <w:rsid w:val="001554A6"/>
    <w:rsid w:val="00155A62"/>
    <w:rsid w:val="00156522"/>
    <w:rsid w:val="00156B0B"/>
    <w:rsid w:val="00156B48"/>
    <w:rsid w:val="00157963"/>
    <w:rsid w:val="001601BA"/>
    <w:rsid w:val="0016032F"/>
    <w:rsid w:val="001614BC"/>
    <w:rsid w:val="0016194F"/>
    <w:rsid w:val="00162452"/>
    <w:rsid w:val="001638BB"/>
    <w:rsid w:val="00164155"/>
    <w:rsid w:val="001665E3"/>
    <w:rsid w:val="00166A5A"/>
    <w:rsid w:val="00166B0B"/>
    <w:rsid w:val="0017123C"/>
    <w:rsid w:val="00172E8D"/>
    <w:rsid w:val="00173AA0"/>
    <w:rsid w:val="0017512B"/>
    <w:rsid w:val="00175A75"/>
    <w:rsid w:val="001772F9"/>
    <w:rsid w:val="00177E29"/>
    <w:rsid w:val="00180081"/>
    <w:rsid w:val="0018082E"/>
    <w:rsid w:val="00180899"/>
    <w:rsid w:val="00181BE1"/>
    <w:rsid w:val="00184029"/>
    <w:rsid w:val="001847CD"/>
    <w:rsid w:val="00185544"/>
    <w:rsid w:val="00185E3B"/>
    <w:rsid w:val="001860C1"/>
    <w:rsid w:val="00186839"/>
    <w:rsid w:val="001869DE"/>
    <w:rsid w:val="00186D92"/>
    <w:rsid w:val="0018783E"/>
    <w:rsid w:val="0018794C"/>
    <w:rsid w:val="001879F6"/>
    <w:rsid w:val="00187A2B"/>
    <w:rsid w:val="00187CC1"/>
    <w:rsid w:val="00190F77"/>
    <w:rsid w:val="00192536"/>
    <w:rsid w:val="001931FD"/>
    <w:rsid w:val="0019326C"/>
    <w:rsid w:val="001941B4"/>
    <w:rsid w:val="001950CC"/>
    <w:rsid w:val="00195C10"/>
    <w:rsid w:val="001978DA"/>
    <w:rsid w:val="001A01F7"/>
    <w:rsid w:val="001A1958"/>
    <w:rsid w:val="001A23FA"/>
    <w:rsid w:val="001A4FBA"/>
    <w:rsid w:val="001A751A"/>
    <w:rsid w:val="001A76AB"/>
    <w:rsid w:val="001B0977"/>
    <w:rsid w:val="001B09A8"/>
    <w:rsid w:val="001B1AA5"/>
    <w:rsid w:val="001B373A"/>
    <w:rsid w:val="001B5E6B"/>
    <w:rsid w:val="001B6172"/>
    <w:rsid w:val="001B71DC"/>
    <w:rsid w:val="001C0052"/>
    <w:rsid w:val="001C0148"/>
    <w:rsid w:val="001C0878"/>
    <w:rsid w:val="001C10A5"/>
    <w:rsid w:val="001C22FF"/>
    <w:rsid w:val="001C28E5"/>
    <w:rsid w:val="001C3B12"/>
    <w:rsid w:val="001C3C54"/>
    <w:rsid w:val="001C548E"/>
    <w:rsid w:val="001C5B87"/>
    <w:rsid w:val="001C63CC"/>
    <w:rsid w:val="001C6AF5"/>
    <w:rsid w:val="001C757E"/>
    <w:rsid w:val="001D0DA4"/>
    <w:rsid w:val="001D2DEC"/>
    <w:rsid w:val="001D4DBB"/>
    <w:rsid w:val="001D5E57"/>
    <w:rsid w:val="001D6672"/>
    <w:rsid w:val="001D7C74"/>
    <w:rsid w:val="001D7CAC"/>
    <w:rsid w:val="001E07B8"/>
    <w:rsid w:val="001E227B"/>
    <w:rsid w:val="001E3663"/>
    <w:rsid w:val="001E3969"/>
    <w:rsid w:val="001E5E9B"/>
    <w:rsid w:val="001E6C72"/>
    <w:rsid w:val="001E6D64"/>
    <w:rsid w:val="001E6DA3"/>
    <w:rsid w:val="001E76D8"/>
    <w:rsid w:val="001F09E8"/>
    <w:rsid w:val="001F115B"/>
    <w:rsid w:val="001F186E"/>
    <w:rsid w:val="001F2D2D"/>
    <w:rsid w:val="001F4686"/>
    <w:rsid w:val="002004A9"/>
    <w:rsid w:val="002012F5"/>
    <w:rsid w:val="002013DF"/>
    <w:rsid w:val="002015CE"/>
    <w:rsid w:val="00201CF0"/>
    <w:rsid w:val="00202A5E"/>
    <w:rsid w:val="00203067"/>
    <w:rsid w:val="0020390F"/>
    <w:rsid w:val="002066C7"/>
    <w:rsid w:val="0021017B"/>
    <w:rsid w:val="00210BAB"/>
    <w:rsid w:val="00211243"/>
    <w:rsid w:val="00211493"/>
    <w:rsid w:val="0021196F"/>
    <w:rsid w:val="0021250B"/>
    <w:rsid w:val="00213B32"/>
    <w:rsid w:val="00213B89"/>
    <w:rsid w:val="002166A7"/>
    <w:rsid w:val="0022089F"/>
    <w:rsid w:val="00221418"/>
    <w:rsid w:val="002229B4"/>
    <w:rsid w:val="0023078E"/>
    <w:rsid w:val="00231994"/>
    <w:rsid w:val="00231BF9"/>
    <w:rsid w:val="00231D1F"/>
    <w:rsid w:val="00232B43"/>
    <w:rsid w:val="00235B3D"/>
    <w:rsid w:val="0023619B"/>
    <w:rsid w:val="00236382"/>
    <w:rsid w:val="0023790A"/>
    <w:rsid w:val="00240A67"/>
    <w:rsid w:val="00241927"/>
    <w:rsid w:val="00242ECF"/>
    <w:rsid w:val="0024331C"/>
    <w:rsid w:val="0024448A"/>
    <w:rsid w:val="00244C07"/>
    <w:rsid w:val="00246F58"/>
    <w:rsid w:val="0025057F"/>
    <w:rsid w:val="0025124F"/>
    <w:rsid w:val="0025150E"/>
    <w:rsid w:val="002532B9"/>
    <w:rsid w:val="002536EB"/>
    <w:rsid w:val="00257062"/>
    <w:rsid w:val="0026058C"/>
    <w:rsid w:val="00260CEC"/>
    <w:rsid w:val="00261F73"/>
    <w:rsid w:val="002624F3"/>
    <w:rsid w:val="00264926"/>
    <w:rsid w:val="00264EB6"/>
    <w:rsid w:val="002670AF"/>
    <w:rsid w:val="00271A1D"/>
    <w:rsid w:val="00271AED"/>
    <w:rsid w:val="00271CF6"/>
    <w:rsid w:val="00272306"/>
    <w:rsid w:val="00272680"/>
    <w:rsid w:val="00273292"/>
    <w:rsid w:val="00273350"/>
    <w:rsid w:val="00273D6B"/>
    <w:rsid w:val="00273EF6"/>
    <w:rsid w:val="00275064"/>
    <w:rsid w:val="00275224"/>
    <w:rsid w:val="00275E81"/>
    <w:rsid w:val="00275F8A"/>
    <w:rsid w:val="00276395"/>
    <w:rsid w:val="0027740B"/>
    <w:rsid w:val="002774B8"/>
    <w:rsid w:val="0027783D"/>
    <w:rsid w:val="002818D4"/>
    <w:rsid w:val="00282EDF"/>
    <w:rsid w:val="00284116"/>
    <w:rsid w:val="00284396"/>
    <w:rsid w:val="0028596B"/>
    <w:rsid w:val="00287E66"/>
    <w:rsid w:val="00287EBD"/>
    <w:rsid w:val="00291C49"/>
    <w:rsid w:val="0029419F"/>
    <w:rsid w:val="002949B8"/>
    <w:rsid w:val="00294CDE"/>
    <w:rsid w:val="00296CBD"/>
    <w:rsid w:val="00296DC8"/>
    <w:rsid w:val="00297699"/>
    <w:rsid w:val="002A0D15"/>
    <w:rsid w:val="002A255B"/>
    <w:rsid w:val="002A38FE"/>
    <w:rsid w:val="002B1445"/>
    <w:rsid w:val="002B32AE"/>
    <w:rsid w:val="002B527D"/>
    <w:rsid w:val="002B6A8C"/>
    <w:rsid w:val="002B6CBA"/>
    <w:rsid w:val="002C17D0"/>
    <w:rsid w:val="002C4998"/>
    <w:rsid w:val="002C4F47"/>
    <w:rsid w:val="002C6C67"/>
    <w:rsid w:val="002D0C65"/>
    <w:rsid w:val="002D358D"/>
    <w:rsid w:val="002D3CC3"/>
    <w:rsid w:val="002D5265"/>
    <w:rsid w:val="002D673A"/>
    <w:rsid w:val="002D6854"/>
    <w:rsid w:val="002D7D5E"/>
    <w:rsid w:val="002E21D0"/>
    <w:rsid w:val="002E2304"/>
    <w:rsid w:val="002E308F"/>
    <w:rsid w:val="002E4D20"/>
    <w:rsid w:val="002F2BEB"/>
    <w:rsid w:val="002F37BB"/>
    <w:rsid w:val="002F41E1"/>
    <w:rsid w:val="002F4A90"/>
    <w:rsid w:val="002F54B1"/>
    <w:rsid w:val="002F646B"/>
    <w:rsid w:val="002F676C"/>
    <w:rsid w:val="002F677B"/>
    <w:rsid w:val="00303422"/>
    <w:rsid w:val="003038AE"/>
    <w:rsid w:val="003046FD"/>
    <w:rsid w:val="00305074"/>
    <w:rsid w:val="003053E4"/>
    <w:rsid w:val="00306D38"/>
    <w:rsid w:val="00307527"/>
    <w:rsid w:val="00312881"/>
    <w:rsid w:val="00316E5F"/>
    <w:rsid w:val="003179C6"/>
    <w:rsid w:val="00317CA9"/>
    <w:rsid w:val="003203AD"/>
    <w:rsid w:val="00320F0E"/>
    <w:rsid w:val="0032165B"/>
    <w:rsid w:val="0032184B"/>
    <w:rsid w:val="00321CFC"/>
    <w:rsid w:val="003222AE"/>
    <w:rsid w:val="003246DE"/>
    <w:rsid w:val="003249B8"/>
    <w:rsid w:val="00324F4B"/>
    <w:rsid w:val="00325010"/>
    <w:rsid w:val="00325E5A"/>
    <w:rsid w:val="003271AC"/>
    <w:rsid w:val="00327F5D"/>
    <w:rsid w:val="00330FD0"/>
    <w:rsid w:val="00332428"/>
    <w:rsid w:val="003343A2"/>
    <w:rsid w:val="00334DE1"/>
    <w:rsid w:val="00334EC4"/>
    <w:rsid w:val="003364DC"/>
    <w:rsid w:val="0033674F"/>
    <w:rsid w:val="0034108A"/>
    <w:rsid w:val="0034142B"/>
    <w:rsid w:val="00343500"/>
    <w:rsid w:val="003465AA"/>
    <w:rsid w:val="0035776A"/>
    <w:rsid w:val="00360435"/>
    <w:rsid w:val="00360A29"/>
    <w:rsid w:val="00362A80"/>
    <w:rsid w:val="00363DD0"/>
    <w:rsid w:val="003644F5"/>
    <w:rsid w:val="00365476"/>
    <w:rsid w:val="00365A18"/>
    <w:rsid w:val="00366460"/>
    <w:rsid w:val="003677D0"/>
    <w:rsid w:val="00370CE9"/>
    <w:rsid w:val="0037234B"/>
    <w:rsid w:val="003730D4"/>
    <w:rsid w:val="0037385A"/>
    <w:rsid w:val="00373865"/>
    <w:rsid w:val="0037563D"/>
    <w:rsid w:val="0037683E"/>
    <w:rsid w:val="00376E21"/>
    <w:rsid w:val="00377A97"/>
    <w:rsid w:val="00380471"/>
    <w:rsid w:val="003805D0"/>
    <w:rsid w:val="00380D77"/>
    <w:rsid w:val="00382675"/>
    <w:rsid w:val="00383C44"/>
    <w:rsid w:val="00383F3C"/>
    <w:rsid w:val="003841A1"/>
    <w:rsid w:val="00384FCB"/>
    <w:rsid w:val="0038580F"/>
    <w:rsid w:val="00385885"/>
    <w:rsid w:val="003866DD"/>
    <w:rsid w:val="00387526"/>
    <w:rsid w:val="00392EDE"/>
    <w:rsid w:val="00393A6A"/>
    <w:rsid w:val="00394861"/>
    <w:rsid w:val="00394E84"/>
    <w:rsid w:val="003964DF"/>
    <w:rsid w:val="003A0E03"/>
    <w:rsid w:val="003A2147"/>
    <w:rsid w:val="003A36EF"/>
    <w:rsid w:val="003A3951"/>
    <w:rsid w:val="003A5351"/>
    <w:rsid w:val="003A7C5A"/>
    <w:rsid w:val="003A7E3A"/>
    <w:rsid w:val="003B28C8"/>
    <w:rsid w:val="003B3685"/>
    <w:rsid w:val="003B3D05"/>
    <w:rsid w:val="003B710B"/>
    <w:rsid w:val="003B7178"/>
    <w:rsid w:val="003C0CB4"/>
    <w:rsid w:val="003C27F1"/>
    <w:rsid w:val="003C67BB"/>
    <w:rsid w:val="003C6DE1"/>
    <w:rsid w:val="003D03E6"/>
    <w:rsid w:val="003D1582"/>
    <w:rsid w:val="003D1B3B"/>
    <w:rsid w:val="003D2137"/>
    <w:rsid w:val="003D2A59"/>
    <w:rsid w:val="003D793C"/>
    <w:rsid w:val="003D7E4C"/>
    <w:rsid w:val="003E05A1"/>
    <w:rsid w:val="003E3215"/>
    <w:rsid w:val="003E41C2"/>
    <w:rsid w:val="003E427B"/>
    <w:rsid w:val="003E710E"/>
    <w:rsid w:val="003E74FB"/>
    <w:rsid w:val="003E7783"/>
    <w:rsid w:val="003F0C98"/>
    <w:rsid w:val="003F0DFB"/>
    <w:rsid w:val="003F1B1F"/>
    <w:rsid w:val="003F3BE5"/>
    <w:rsid w:val="003F3E2A"/>
    <w:rsid w:val="003F3E4C"/>
    <w:rsid w:val="003F46EB"/>
    <w:rsid w:val="003F7B52"/>
    <w:rsid w:val="00400D2D"/>
    <w:rsid w:val="00401219"/>
    <w:rsid w:val="00403776"/>
    <w:rsid w:val="00403C88"/>
    <w:rsid w:val="0040552C"/>
    <w:rsid w:val="00405FBF"/>
    <w:rsid w:val="00406AD8"/>
    <w:rsid w:val="004079C4"/>
    <w:rsid w:val="00410958"/>
    <w:rsid w:val="00412456"/>
    <w:rsid w:val="00413096"/>
    <w:rsid w:val="00413828"/>
    <w:rsid w:val="0041511D"/>
    <w:rsid w:val="004151D1"/>
    <w:rsid w:val="00416034"/>
    <w:rsid w:val="00416A9F"/>
    <w:rsid w:val="00420EFC"/>
    <w:rsid w:val="00421E34"/>
    <w:rsid w:val="004232CD"/>
    <w:rsid w:val="00423DD6"/>
    <w:rsid w:val="00424E56"/>
    <w:rsid w:val="00425DC2"/>
    <w:rsid w:val="00426282"/>
    <w:rsid w:val="0042769A"/>
    <w:rsid w:val="004304AE"/>
    <w:rsid w:val="00431488"/>
    <w:rsid w:val="004321B0"/>
    <w:rsid w:val="00432330"/>
    <w:rsid w:val="00434688"/>
    <w:rsid w:val="004349E1"/>
    <w:rsid w:val="00434A25"/>
    <w:rsid w:val="00434E10"/>
    <w:rsid w:val="00437E14"/>
    <w:rsid w:val="0044069E"/>
    <w:rsid w:val="004407FD"/>
    <w:rsid w:val="00442A80"/>
    <w:rsid w:val="004435C5"/>
    <w:rsid w:val="00444458"/>
    <w:rsid w:val="00445674"/>
    <w:rsid w:val="00446C3B"/>
    <w:rsid w:val="004472B7"/>
    <w:rsid w:val="00447C0C"/>
    <w:rsid w:val="00447FE0"/>
    <w:rsid w:val="00451C2A"/>
    <w:rsid w:val="0045492B"/>
    <w:rsid w:val="004568CB"/>
    <w:rsid w:val="00457743"/>
    <w:rsid w:val="0046031E"/>
    <w:rsid w:val="004622F3"/>
    <w:rsid w:val="004639F5"/>
    <w:rsid w:val="0046431F"/>
    <w:rsid w:val="0046580D"/>
    <w:rsid w:val="00466855"/>
    <w:rsid w:val="0046753B"/>
    <w:rsid w:val="00470087"/>
    <w:rsid w:val="004703AC"/>
    <w:rsid w:val="00474558"/>
    <w:rsid w:val="00475981"/>
    <w:rsid w:val="00475B6F"/>
    <w:rsid w:val="00475ED8"/>
    <w:rsid w:val="004762CB"/>
    <w:rsid w:val="004825FC"/>
    <w:rsid w:val="004826F0"/>
    <w:rsid w:val="004840F6"/>
    <w:rsid w:val="00485C27"/>
    <w:rsid w:val="0048613A"/>
    <w:rsid w:val="0048782C"/>
    <w:rsid w:val="0048783A"/>
    <w:rsid w:val="00487DFB"/>
    <w:rsid w:val="00490204"/>
    <w:rsid w:val="00491E03"/>
    <w:rsid w:val="004926B0"/>
    <w:rsid w:val="004936C8"/>
    <w:rsid w:val="0049398B"/>
    <w:rsid w:val="00493F34"/>
    <w:rsid w:val="00495383"/>
    <w:rsid w:val="00495677"/>
    <w:rsid w:val="004971B3"/>
    <w:rsid w:val="0049772C"/>
    <w:rsid w:val="00497736"/>
    <w:rsid w:val="004A0275"/>
    <w:rsid w:val="004A1083"/>
    <w:rsid w:val="004A363F"/>
    <w:rsid w:val="004A6C79"/>
    <w:rsid w:val="004A6DEA"/>
    <w:rsid w:val="004A77DF"/>
    <w:rsid w:val="004B106E"/>
    <w:rsid w:val="004B173C"/>
    <w:rsid w:val="004B177D"/>
    <w:rsid w:val="004B2F98"/>
    <w:rsid w:val="004B41D6"/>
    <w:rsid w:val="004B4912"/>
    <w:rsid w:val="004B67F2"/>
    <w:rsid w:val="004B6C92"/>
    <w:rsid w:val="004C0775"/>
    <w:rsid w:val="004C223B"/>
    <w:rsid w:val="004C54E8"/>
    <w:rsid w:val="004C5EEA"/>
    <w:rsid w:val="004C69E2"/>
    <w:rsid w:val="004D46C0"/>
    <w:rsid w:val="004D5895"/>
    <w:rsid w:val="004D694A"/>
    <w:rsid w:val="004E1681"/>
    <w:rsid w:val="004E189C"/>
    <w:rsid w:val="004E193A"/>
    <w:rsid w:val="004E23BA"/>
    <w:rsid w:val="004E5AC0"/>
    <w:rsid w:val="004E5E14"/>
    <w:rsid w:val="004E7A2F"/>
    <w:rsid w:val="004F0717"/>
    <w:rsid w:val="004F071F"/>
    <w:rsid w:val="004F0D0F"/>
    <w:rsid w:val="004F1560"/>
    <w:rsid w:val="004F21B3"/>
    <w:rsid w:val="004F26D8"/>
    <w:rsid w:val="004F3F1C"/>
    <w:rsid w:val="004F4BF1"/>
    <w:rsid w:val="004F51A6"/>
    <w:rsid w:val="004F5937"/>
    <w:rsid w:val="004F6A4E"/>
    <w:rsid w:val="005005E3"/>
    <w:rsid w:val="00500C23"/>
    <w:rsid w:val="00500D21"/>
    <w:rsid w:val="005026AA"/>
    <w:rsid w:val="00502F49"/>
    <w:rsid w:val="0050339D"/>
    <w:rsid w:val="00512B3C"/>
    <w:rsid w:val="005136A9"/>
    <w:rsid w:val="00514C68"/>
    <w:rsid w:val="005155FF"/>
    <w:rsid w:val="005164FE"/>
    <w:rsid w:val="00516FF0"/>
    <w:rsid w:val="005179A8"/>
    <w:rsid w:val="00520803"/>
    <w:rsid w:val="00526BEE"/>
    <w:rsid w:val="00526BFC"/>
    <w:rsid w:val="0052735A"/>
    <w:rsid w:val="005332F8"/>
    <w:rsid w:val="00533958"/>
    <w:rsid w:val="005376E2"/>
    <w:rsid w:val="00543916"/>
    <w:rsid w:val="0054501E"/>
    <w:rsid w:val="00547177"/>
    <w:rsid w:val="00550817"/>
    <w:rsid w:val="00550AFB"/>
    <w:rsid w:val="00551692"/>
    <w:rsid w:val="005523BE"/>
    <w:rsid w:val="00552EEB"/>
    <w:rsid w:val="005542F6"/>
    <w:rsid w:val="005567D8"/>
    <w:rsid w:val="005570B3"/>
    <w:rsid w:val="005570D4"/>
    <w:rsid w:val="00560049"/>
    <w:rsid w:val="00561710"/>
    <w:rsid w:val="0056247A"/>
    <w:rsid w:val="00562731"/>
    <w:rsid w:val="00562759"/>
    <w:rsid w:val="00564E37"/>
    <w:rsid w:val="00565552"/>
    <w:rsid w:val="005655AB"/>
    <w:rsid w:val="00566802"/>
    <w:rsid w:val="0056754B"/>
    <w:rsid w:val="00567D86"/>
    <w:rsid w:val="00570ECE"/>
    <w:rsid w:val="00571D2E"/>
    <w:rsid w:val="00572C0C"/>
    <w:rsid w:val="00572DEC"/>
    <w:rsid w:val="0057373A"/>
    <w:rsid w:val="00573B02"/>
    <w:rsid w:val="00573D90"/>
    <w:rsid w:val="005740F9"/>
    <w:rsid w:val="00575709"/>
    <w:rsid w:val="00576150"/>
    <w:rsid w:val="0057629C"/>
    <w:rsid w:val="005808B8"/>
    <w:rsid w:val="00581320"/>
    <w:rsid w:val="00581432"/>
    <w:rsid w:val="005835C4"/>
    <w:rsid w:val="005845A8"/>
    <w:rsid w:val="005852B3"/>
    <w:rsid w:val="00585A42"/>
    <w:rsid w:val="00586273"/>
    <w:rsid w:val="00586297"/>
    <w:rsid w:val="00586DC0"/>
    <w:rsid w:val="00586FD2"/>
    <w:rsid w:val="0058765C"/>
    <w:rsid w:val="0059377E"/>
    <w:rsid w:val="00593FFD"/>
    <w:rsid w:val="005945E5"/>
    <w:rsid w:val="00595343"/>
    <w:rsid w:val="00595E7A"/>
    <w:rsid w:val="005961A5"/>
    <w:rsid w:val="00596DBA"/>
    <w:rsid w:val="005A0D28"/>
    <w:rsid w:val="005A4C4A"/>
    <w:rsid w:val="005A61FC"/>
    <w:rsid w:val="005A7629"/>
    <w:rsid w:val="005A7E18"/>
    <w:rsid w:val="005B07BF"/>
    <w:rsid w:val="005B190D"/>
    <w:rsid w:val="005B1B68"/>
    <w:rsid w:val="005B385A"/>
    <w:rsid w:val="005B40A3"/>
    <w:rsid w:val="005B49A0"/>
    <w:rsid w:val="005B4B69"/>
    <w:rsid w:val="005C212D"/>
    <w:rsid w:val="005C382D"/>
    <w:rsid w:val="005C3EDD"/>
    <w:rsid w:val="005C433B"/>
    <w:rsid w:val="005C56AE"/>
    <w:rsid w:val="005D038A"/>
    <w:rsid w:val="005D1D54"/>
    <w:rsid w:val="005D31D0"/>
    <w:rsid w:val="005D3E4E"/>
    <w:rsid w:val="005D3FAD"/>
    <w:rsid w:val="005D4688"/>
    <w:rsid w:val="005D5052"/>
    <w:rsid w:val="005D6ABE"/>
    <w:rsid w:val="005D6F69"/>
    <w:rsid w:val="005D74A5"/>
    <w:rsid w:val="005D7C0A"/>
    <w:rsid w:val="005E05EA"/>
    <w:rsid w:val="005E0B64"/>
    <w:rsid w:val="005E3859"/>
    <w:rsid w:val="005E3E49"/>
    <w:rsid w:val="005E4D9A"/>
    <w:rsid w:val="005E4FBD"/>
    <w:rsid w:val="005E5B9C"/>
    <w:rsid w:val="005F061D"/>
    <w:rsid w:val="005F1E5C"/>
    <w:rsid w:val="005F2945"/>
    <w:rsid w:val="005F3251"/>
    <w:rsid w:val="005F3607"/>
    <w:rsid w:val="005F6306"/>
    <w:rsid w:val="00601B17"/>
    <w:rsid w:val="00601C4A"/>
    <w:rsid w:val="006036DC"/>
    <w:rsid w:val="006040BD"/>
    <w:rsid w:val="0060478A"/>
    <w:rsid w:val="00605443"/>
    <w:rsid w:val="006054C6"/>
    <w:rsid w:val="006055C7"/>
    <w:rsid w:val="006062A0"/>
    <w:rsid w:val="00606DA4"/>
    <w:rsid w:val="006077A4"/>
    <w:rsid w:val="00607AB3"/>
    <w:rsid w:val="00611C6B"/>
    <w:rsid w:val="00612EA1"/>
    <w:rsid w:val="00613B8F"/>
    <w:rsid w:val="00617817"/>
    <w:rsid w:val="006225C9"/>
    <w:rsid w:val="00627786"/>
    <w:rsid w:val="00627AF1"/>
    <w:rsid w:val="00630767"/>
    <w:rsid w:val="0063125F"/>
    <w:rsid w:val="006317A7"/>
    <w:rsid w:val="0063600F"/>
    <w:rsid w:val="00636FD2"/>
    <w:rsid w:val="006400FF"/>
    <w:rsid w:val="006404A6"/>
    <w:rsid w:val="00640631"/>
    <w:rsid w:val="006416C7"/>
    <w:rsid w:val="00643482"/>
    <w:rsid w:val="00645DA2"/>
    <w:rsid w:val="006464B2"/>
    <w:rsid w:val="00646591"/>
    <w:rsid w:val="0064735A"/>
    <w:rsid w:val="00647831"/>
    <w:rsid w:val="00650148"/>
    <w:rsid w:val="0065147B"/>
    <w:rsid w:val="0065259B"/>
    <w:rsid w:val="00652923"/>
    <w:rsid w:val="0065497E"/>
    <w:rsid w:val="006567C8"/>
    <w:rsid w:val="00657507"/>
    <w:rsid w:val="00661A6C"/>
    <w:rsid w:val="00661E97"/>
    <w:rsid w:val="006629D4"/>
    <w:rsid w:val="00663329"/>
    <w:rsid w:val="006640FF"/>
    <w:rsid w:val="00665DA4"/>
    <w:rsid w:val="006662C7"/>
    <w:rsid w:val="00666D21"/>
    <w:rsid w:val="006679AB"/>
    <w:rsid w:val="006704C5"/>
    <w:rsid w:val="00670C2E"/>
    <w:rsid w:val="00671B06"/>
    <w:rsid w:val="00672717"/>
    <w:rsid w:val="00675F3C"/>
    <w:rsid w:val="00681909"/>
    <w:rsid w:val="00683754"/>
    <w:rsid w:val="00685B8F"/>
    <w:rsid w:val="006866C2"/>
    <w:rsid w:val="00687550"/>
    <w:rsid w:val="00690032"/>
    <w:rsid w:val="006905F9"/>
    <w:rsid w:val="006907D2"/>
    <w:rsid w:val="00692507"/>
    <w:rsid w:val="00693492"/>
    <w:rsid w:val="006938E3"/>
    <w:rsid w:val="0069525F"/>
    <w:rsid w:val="00695440"/>
    <w:rsid w:val="00695F7B"/>
    <w:rsid w:val="006A0AA5"/>
    <w:rsid w:val="006A1BD4"/>
    <w:rsid w:val="006A2D0E"/>
    <w:rsid w:val="006A43DB"/>
    <w:rsid w:val="006A6373"/>
    <w:rsid w:val="006A69BF"/>
    <w:rsid w:val="006A72AF"/>
    <w:rsid w:val="006A7662"/>
    <w:rsid w:val="006B1A82"/>
    <w:rsid w:val="006B2305"/>
    <w:rsid w:val="006B30C8"/>
    <w:rsid w:val="006B4A3C"/>
    <w:rsid w:val="006B6B0F"/>
    <w:rsid w:val="006B6B5F"/>
    <w:rsid w:val="006B752C"/>
    <w:rsid w:val="006C17C6"/>
    <w:rsid w:val="006C246B"/>
    <w:rsid w:val="006C3DF7"/>
    <w:rsid w:val="006C432D"/>
    <w:rsid w:val="006C53AB"/>
    <w:rsid w:val="006C6658"/>
    <w:rsid w:val="006C7DB6"/>
    <w:rsid w:val="006D0D48"/>
    <w:rsid w:val="006D1C21"/>
    <w:rsid w:val="006D29E9"/>
    <w:rsid w:val="006D53AD"/>
    <w:rsid w:val="006D79F5"/>
    <w:rsid w:val="006E0A91"/>
    <w:rsid w:val="006E1062"/>
    <w:rsid w:val="006E11DB"/>
    <w:rsid w:val="006E2205"/>
    <w:rsid w:val="006E24FE"/>
    <w:rsid w:val="006E3F56"/>
    <w:rsid w:val="006E5217"/>
    <w:rsid w:val="006E63A0"/>
    <w:rsid w:val="006F03ED"/>
    <w:rsid w:val="006F0FEE"/>
    <w:rsid w:val="006F1C4A"/>
    <w:rsid w:val="006F3659"/>
    <w:rsid w:val="006F38F9"/>
    <w:rsid w:val="006F453E"/>
    <w:rsid w:val="006F6794"/>
    <w:rsid w:val="006F78FC"/>
    <w:rsid w:val="00701479"/>
    <w:rsid w:val="00701C8E"/>
    <w:rsid w:val="007024AB"/>
    <w:rsid w:val="00703021"/>
    <w:rsid w:val="007034A8"/>
    <w:rsid w:val="00703E52"/>
    <w:rsid w:val="007078BF"/>
    <w:rsid w:val="00707A8A"/>
    <w:rsid w:val="007107D7"/>
    <w:rsid w:val="0071083B"/>
    <w:rsid w:val="00711A12"/>
    <w:rsid w:val="00711DF4"/>
    <w:rsid w:val="0071215B"/>
    <w:rsid w:val="007133F6"/>
    <w:rsid w:val="00713E2A"/>
    <w:rsid w:val="00713EEF"/>
    <w:rsid w:val="00714595"/>
    <w:rsid w:val="0071489B"/>
    <w:rsid w:val="007151A6"/>
    <w:rsid w:val="007159EA"/>
    <w:rsid w:val="0072037D"/>
    <w:rsid w:val="00723B12"/>
    <w:rsid w:val="00725B10"/>
    <w:rsid w:val="007262B6"/>
    <w:rsid w:val="007265A9"/>
    <w:rsid w:val="00726837"/>
    <w:rsid w:val="00727119"/>
    <w:rsid w:val="00727F5C"/>
    <w:rsid w:val="00731E65"/>
    <w:rsid w:val="007334A6"/>
    <w:rsid w:val="00733B48"/>
    <w:rsid w:val="007342E9"/>
    <w:rsid w:val="007356F5"/>
    <w:rsid w:val="00735A67"/>
    <w:rsid w:val="00741266"/>
    <w:rsid w:val="0074185C"/>
    <w:rsid w:val="00741A1B"/>
    <w:rsid w:val="007444C0"/>
    <w:rsid w:val="0074468B"/>
    <w:rsid w:val="00744CB6"/>
    <w:rsid w:val="00746C2D"/>
    <w:rsid w:val="00750562"/>
    <w:rsid w:val="00751C0E"/>
    <w:rsid w:val="00754A3A"/>
    <w:rsid w:val="00760E5D"/>
    <w:rsid w:val="00761162"/>
    <w:rsid w:val="00761C0F"/>
    <w:rsid w:val="007647DF"/>
    <w:rsid w:val="00766019"/>
    <w:rsid w:val="00766DDF"/>
    <w:rsid w:val="00766FB0"/>
    <w:rsid w:val="007706EB"/>
    <w:rsid w:val="007709BD"/>
    <w:rsid w:val="00772DB0"/>
    <w:rsid w:val="00776932"/>
    <w:rsid w:val="007837DB"/>
    <w:rsid w:val="00784747"/>
    <w:rsid w:val="007850DD"/>
    <w:rsid w:val="00785CF0"/>
    <w:rsid w:val="00787128"/>
    <w:rsid w:val="00787E25"/>
    <w:rsid w:val="00794BB7"/>
    <w:rsid w:val="00794D47"/>
    <w:rsid w:val="0079695F"/>
    <w:rsid w:val="007A0A30"/>
    <w:rsid w:val="007A1DC6"/>
    <w:rsid w:val="007A1E4E"/>
    <w:rsid w:val="007A35D7"/>
    <w:rsid w:val="007A54A4"/>
    <w:rsid w:val="007A59D6"/>
    <w:rsid w:val="007A6199"/>
    <w:rsid w:val="007A6602"/>
    <w:rsid w:val="007A6D15"/>
    <w:rsid w:val="007A6EC3"/>
    <w:rsid w:val="007A7434"/>
    <w:rsid w:val="007B0202"/>
    <w:rsid w:val="007B059B"/>
    <w:rsid w:val="007B1873"/>
    <w:rsid w:val="007B3963"/>
    <w:rsid w:val="007B69D1"/>
    <w:rsid w:val="007C1C6F"/>
    <w:rsid w:val="007C1FCD"/>
    <w:rsid w:val="007C2FFB"/>
    <w:rsid w:val="007C5DDD"/>
    <w:rsid w:val="007C70DB"/>
    <w:rsid w:val="007C74B4"/>
    <w:rsid w:val="007D2F2F"/>
    <w:rsid w:val="007D5B45"/>
    <w:rsid w:val="007D69EF"/>
    <w:rsid w:val="007D70A1"/>
    <w:rsid w:val="007D7F8E"/>
    <w:rsid w:val="007E1009"/>
    <w:rsid w:val="007E109A"/>
    <w:rsid w:val="007E15D0"/>
    <w:rsid w:val="007E1C4D"/>
    <w:rsid w:val="007E51F5"/>
    <w:rsid w:val="007E5DA7"/>
    <w:rsid w:val="007E7A90"/>
    <w:rsid w:val="007E7EBB"/>
    <w:rsid w:val="007F049B"/>
    <w:rsid w:val="007F0C5D"/>
    <w:rsid w:val="007F0F18"/>
    <w:rsid w:val="007F1A32"/>
    <w:rsid w:val="007F2696"/>
    <w:rsid w:val="007F34FC"/>
    <w:rsid w:val="007F526F"/>
    <w:rsid w:val="007F5AE4"/>
    <w:rsid w:val="007F5CEC"/>
    <w:rsid w:val="007F5F0A"/>
    <w:rsid w:val="007F6070"/>
    <w:rsid w:val="007F6456"/>
    <w:rsid w:val="007F720A"/>
    <w:rsid w:val="008012CB"/>
    <w:rsid w:val="00802480"/>
    <w:rsid w:val="008037B6"/>
    <w:rsid w:val="00804A3F"/>
    <w:rsid w:val="00804D05"/>
    <w:rsid w:val="0080744B"/>
    <w:rsid w:val="008077E1"/>
    <w:rsid w:val="00807867"/>
    <w:rsid w:val="00807F7F"/>
    <w:rsid w:val="008100D0"/>
    <w:rsid w:val="008109EC"/>
    <w:rsid w:val="00811739"/>
    <w:rsid w:val="008132E8"/>
    <w:rsid w:val="00813F37"/>
    <w:rsid w:val="00815E38"/>
    <w:rsid w:val="00816899"/>
    <w:rsid w:val="00817B93"/>
    <w:rsid w:val="008225AA"/>
    <w:rsid w:val="00823407"/>
    <w:rsid w:val="0082525A"/>
    <w:rsid w:val="008257DC"/>
    <w:rsid w:val="00826903"/>
    <w:rsid w:val="00826D5C"/>
    <w:rsid w:val="0083170E"/>
    <w:rsid w:val="00831E14"/>
    <w:rsid w:val="00832546"/>
    <w:rsid w:val="00832C76"/>
    <w:rsid w:val="00832F7A"/>
    <w:rsid w:val="00833A1A"/>
    <w:rsid w:val="0083452B"/>
    <w:rsid w:val="008346DC"/>
    <w:rsid w:val="00834804"/>
    <w:rsid w:val="00834B7E"/>
    <w:rsid w:val="008364FB"/>
    <w:rsid w:val="008400A1"/>
    <w:rsid w:val="00840989"/>
    <w:rsid w:val="00841440"/>
    <w:rsid w:val="00841C9F"/>
    <w:rsid w:val="0084217D"/>
    <w:rsid w:val="00843896"/>
    <w:rsid w:val="00845D43"/>
    <w:rsid w:val="008511E7"/>
    <w:rsid w:val="00851C28"/>
    <w:rsid w:val="00853B06"/>
    <w:rsid w:val="0085462A"/>
    <w:rsid w:val="00854FC3"/>
    <w:rsid w:val="00857878"/>
    <w:rsid w:val="00857F78"/>
    <w:rsid w:val="00861495"/>
    <w:rsid w:val="0086192C"/>
    <w:rsid w:val="00861E00"/>
    <w:rsid w:val="00865D15"/>
    <w:rsid w:val="00870756"/>
    <w:rsid w:val="008718F4"/>
    <w:rsid w:val="00871D0D"/>
    <w:rsid w:val="00873570"/>
    <w:rsid w:val="008746B2"/>
    <w:rsid w:val="00876662"/>
    <w:rsid w:val="008768BE"/>
    <w:rsid w:val="00877B4A"/>
    <w:rsid w:val="00883769"/>
    <w:rsid w:val="00884798"/>
    <w:rsid w:val="00884BF3"/>
    <w:rsid w:val="008851E8"/>
    <w:rsid w:val="008852BF"/>
    <w:rsid w:val="00886520"/>
    <w:rsid w:val="008912D5"/>
    <w:rsid w:val="00891A56"/>
    <w:rsid w:val="008921E3"/>
    <w:rsid w:val="00892C7D"/>
    <w:rsid w:val="00894005"/>
    <w:rsid w:val="0089684C"/>
    <w:rsid w:val="00896F14"/>
    <w:rsid w:val="00897C2A"/>
    <w:rsid w:val="008A19C8"/>
    <w:rsid w:val="008A1D52"/>
    <w:rsid w:val="008A204D"/>
    <w:rsid w:val="008A2070"/>
    <w:rsid w:val="008A2F67"/>
    <w:rsid w:val="008A584E"/>
    <w:rsid w:val="008A692A"/>
    <w:rsid w:val="008B0184"/>
    <w:rsid w:val="008B2A2E"/>
    <w:rsid w:val="008B3177"/>
    <w:rsid w:val="008B3380"/>
    <w:rsid w:val="008B4505"/>
    <w:rsid w:val="008B4B57"/>
    <w:rsid w:val="008B5716"/>
    <w:rsid w:val="008C0236"/>
    <w:rsid w:val="008C03FD"/>
    <w:rsid w:val="008C1979"/>
    <w:rsid w:val="008C1ACD"/>
    <w:rsid w:val="008C2107"/>
    <w:rsid w:val="008C4587"/>
    <w:rsid w:val="008C5D02"/>
    <w:rsid w:val="008C5DE1"/>
    <w:rsid w:val="008C5E8B"/>
    <w:rsid w:val="008C6E45"/>
    <w:rsid w:val="008C7002"/>
    <w:rsid w:val="008D0388"/>
    <w:rsid w:val="008D11DB"/>
    <w:rsid w:val="008D23B9"/>
    <w:rsid w:val="008D2649"/>
    <w:rsid w:val="008D52DB"/>
    <w:rsid w:val="008D5A9F"/>
    <w:rsid w:val="008D5D2A"/>
    <w:rsid w:val="008D646F"/>
    <w:rsid w:val="008D6BD6"/>
    <w:rsid w:val="008D6E86"/>
    <w:rsid w:val="008E1C19"/>
    <w:rsid w:val="008E23A8"/>
    <w:rsid w:val="008F0101"/>
    <w:rsid w:val="008F0923"/>
    <w:rsid w:val="008F0DCD"/>
    <w:rsid w:val="008F1856"/>
    <w:rsid w:val="008F2288"/>
    <w:rsid w:val="008F3C8A"/>
    <w:rsid w:val="008F3DF2"/>
    <w:rsid w:val="008F4675"/>
    <w:rsid w:val="008F58DE"/>
    <w:rsid w:val="008F60BB"/>
    <w:rsid w:val="008F6543"/>
    <w:rsid w:val="008F7ACA"/>
    <w:rsid w:val="009002B8"/>
    <w:rsid w:val="00903F27"/>
    <w:rsid w:val="0090568D"/>
    <w:rsid w:val="00905DA7"/>
    <w:rsid w:val="0090620B"/>
    <w:rsid w:val="009100BC"/>
    <w:rsid w:val="00910199"/>
    <w:rsid w:val="009117C9"/>
    <w:rsid w:val="009125C9"/>
    <w:rsid w:val="00913879"/>
    <w:rsid w:val="00913FFD"/>
    <w:rsid w:val="00917311"/>
    <w:rsid w:val="00917661"/>
    <w:rsid w:val="00921A53"/>
    <w:rsid w:val="009221D1"/>
    <w:rsid w:val="00923309"/>
    <w:rsid w:val="0092351C"/>
    <w:rsid w:val="00924043"/>
    <w:rsid w:val="00926894"/>
    <w:rsid w:val="00927D86"/>
    <w:rsid w:val="009303D7"/>
    <w:rsid w:val="00930AD6"/>
    <w:rsid w:val="00931442"/>
    <w:rsid w:val="009320B1"/>
    <w:rsid w:val="009325F0"/>
    <w:rsid w:val="00933DE8"/>
    <w:rsid w:val="00934A2E"/>
    <w:rsid w:val="00935953"/>
    <w:rsid w:val="00935BCE"/>
    <w:rsid w:val="009360A1"/>
    <w:rsid w:val="00936294"/>
    <w:rsid w:val="0094001A"/>
    <w:rsid w:val="00942D02"/>
    <w:rsid w:val="00943EE0"/>
    <w:rsid w:val="00944819"/>
    <w:rsid w:val="009454D5"/>
    <w:rsid w:val="00946A30"/>
    <w:rsid w:val="0094711A"/>
    <w:rsid w:val="00947398"/>
    <w:rsid w:val="00947A8B"/>
    <w:rsid w:val="00947B78"/>
    <w:rsid w:val="00950D3D"/>
    <w:rsid w:val="00952DC5"/>
    <w:rsid w:val="00953493"/>
    <w:rsid w:val="00954F3F"/>
    <w:rsid w:val="009567F0"/>
    <w:rsid w:val="00956F1D"/>
    <w:rsid w:val="00957670"/>
    <w:rsid w:val="009600DE"/>
    <w:rsid w:val="00960365"/>
    <w:rsid w:val="0096121B"/>
    <w:rsid w:val="0096286E"/>
    <w:rsid w:val="00964CDE"/>
    <w:rsid w:val="0096549F"/>
    <w:rsid w:val="009668BE"/>
    <w:rsid w:val="009675D8"/>
    <w:rsid w:val="00970E5D"/>
    <w:rsid w:val="00971035"/>
    <w:rsid w:val="009710FE"/>
    <w:rsid w:val="00971D9D"/>
    <w:rsid w:val="0097366B"/>
    <w:rsid w:val="009743A9"/>
    <w:rsid w:val="00976139"/>
    <w:rsid w:val="0097701C"/>
    <w:rsid w:val="00980A65"/>
    <w:rsid w:val="009812C9"/>
    <w:rsid w:val="00982769"/>
    <w:rsid w:val="009829D2"/>
    <w:rsid w:val="00984706"/>
    <w:rsid w:val="00985FFE"/>
    <w:rsid w:val="00986A85"/>
    <w:rsid w:val="00986EA7"/>
    <w:rsid w:val="009878A8"/>
    <w:rsid w:val="0099037C"/>
    <w:rsid w:val="009908F9"/>
    <w:rsid w:val="00991AA3"/>
    <w:rsid w:val="00991C3E"/>
    <w:rsid w:val="00992312"/>
    <w:rsid w:val="00993112"/>
    <w:rsid w:val="00994FB5"/>
    <w:rsid w:val="00996740"/>
    <w:rsid w:val="009A05A6"/>
    <w:rsid w:val="009A0F22"/>
    <w:rsid w:val="009A11F6"/>
    <w:rsid w:val="009A5BE2"/>
    <w:rsid w:val="009A6A22"/>
    <w:rsid w:val="009B074F"/>
    <w:rsid w:val="009B1427"/>
    <w:rsid w:val="009B143A"/>
    <w:rsid w:val="009B4B3F"/>
    <w:rsid w:val="009B4E56"/>
    <w:rsid w:val="009B5E94"/>
    <w:rsid w:val="009B70FB"/>
    <w:rsid w:val="009B7DB5"/>
    <w:rsid w:val="009C325D"/>
    <w:rsid w:val="009C3F2E"/>
    <w:rsid w:val="009C45B4"/>
    <w:rsid w:val="009C4AE0"/>
    <w:rsid w:val="009C598E"/>
    <w:rsid w:val="009C7053"/>
    <w:rsid w:val="009C7B87"/>
    <w:rsid w:val="009D00A8"/>
    <w:rsid w:val="009D184E"/>
    <w:rsid w:val="009D1D45"/>
    <w:rsid w:val="009D34E6"/>
    <w:rsid w:val="009D38B9"/>
    <w:rsid w:val="009D590A"/>
    <w:rsid w:val="009E1CE8"/>
    <w:rsid w:val="009E34F7"/>
    <w:rsid w:val="009E57E2"/>
    <w:rsid w:val="009E7152"/>
    <w:rsid w:val="009E74D9"/>
    <w:rsid w:val="009F0A2B"/>
    <w:rsid w:val="009F1C6F"/>
    <w:rsid w:val="009F29CC"/>
    <w:rsid w:val="009F76A6"/>
    <w:rsid w:val="009F76B5"/>
    <w:rsid w:val="00A00C9E"/>
    <w:rsid w:val="00A02479"/>
    <w:rsid w:val="00A03052"/>
    <w:rsid w:val="00A03441"/>
    <w:rsid w:val="00A05564"/>
    <w:rsid w:val="00A05D4B"/>
    <w:rsid w:val="00A0694E"/>
    <w:rsid w:val="00A06CEF"/>
    <w:rsid w:val="00A07D1A"/>
    <w:rsid w:val="00A1070A"/>
    <w:rsid w:val="00A1309E"/>
    <w:rsid w:val="00A16F43"/>
    <w:rsid w:val="00A22016"/>
    <w:rsid w:val="00A2317D"/>
    <w:rsid w:val="00A2586F"/>
    <w:rsid w:val="00A25E70"/>
    <w:rsid w:val="00A27AA5"/>
    <w:rsid w:val="00A30719"/>
    <w:rsid w:val="00A30AC2"/>
    <w:rsid w:val="00A30C4B"/>
    <w:rsid w:val="00A319D1"/>
    <w:rsid w:val="00A32DE0"/>
    <w:rsid w:val="00A33765"/>
    <w:rsid w:val="00A34011"/>
    <w:rsid w:val="00A41E8A"/>
    <w:rsid w:val="00A43FD8"/>
    <w:rsid w:val="00A44DAD"/>
    <w:rsid w:val="00A45CCF"/>
    <w:rsid w:val="00A46C4B"/>
    <w:rsid w:val="00A47A1F"/>
    <w:rsid w:val="00A52624"/>
    <w:rsid w:val="00A52CC9"/>
    <w:rsid w:val="00A54907"/>
    <w:rsid w:val="00A54A16"/>
    <w:rsid w:val="00A54D58"/>
    <w:rsid w:val="00A55E07"/>
    <w:rsid w:val="00A563CF"/>
    <w:rsid w:val="00A57920"/>
    <w:rsid w:val="00A60D85"/>
    <w:rsid w:val="00A61EEB"/>
    <w:rsid w:val="00A62F3B"/>
    <w:rsid w:val="00A63269"/>
    <w:rsid w:val="00A63733"/>
    <w:rsid w:val="00A648E6"/>
    <w:rsid w:val="00A65169"/>
    <w:rsid w:val="00A66BFF"/>
    <w:rsid w:val="00A73861"/>
    <w:rsid w:val="00A74351"/>
    <w:rsid w:val="00A76D92"/>
    <w:rsid w:val="00A77E57"/>
    <w:rsid w:val="00A80A4A"/>
    <w:rsid w:val="00A8180C"/>
    <w:rsid w:val="00A8205D"/>
    <w:rsid w:val="00A828A6"/>
    <w:rsid w:val="00A83173"/>
    <w:rsid w:val="00A8381F"/>
    <w:rsid w:val="00A839CD"/>
    <w:rsid w:val="00A851CD"/>
    <w:rsid w:val="00A868E7"/>
    <w:rsid w:val="00A8796C"/>
    <w:rsid w:val="00A90610"/>
    <w:rsid w:val="00A90961"/>
    <w:rsid w:val="00A91F43"/>
    <w:rsid w:val="00A92377"/>
    <w:rsid w:val="00A92448"/>
    <w:rsid w:val="00A92B8B"/>
    <w:rsid w:val="00A931F4"/>
    <w:rsid w:val="00A93E87"/>
    <w:rsid w:val="00A94149"/>
    <w:rsid w:val="00A942F9"/>
    <w:rsid w:val="00A957E7"/>
    <w:rsid w:val="00A9602F"/>
    <w:rsid w:val="00A96211"/>
    <w:rsid w:val="00A968BA"/>
    <w:rsid w:val="00A96B4D"/>
    <w:rsid w:val="00AA0513"/>
    <w:rsid w:val="00AA14B9"/>
    <w:rsid w:val="00AA28AA"/>
    <w:rsid w:val="00AA2BB4"/>
    <w:rsid w:val="00AA2D4A"/>
    <w:rsid w:val="00AA307C"/>
    <w:rsid w:val="00AA5296"/>
    <w:rsid w:val="00AA5F46"/>
    <w:rsid w:val="00AA5F8D"/>
    <w:rsid w:val="00AA6ABE"/>
    <w:rsid w:val="00AA7A72"/>
    <w:rsid w:val="00AB0846"/>
    <w:rsid w:val="00AB29ED"/>
    <w:rsid w:val="00AB3AD0"/>
    <w:rsid w:val="00AB5A5B"/>
    <w:rsid w:val="00AB7102"/>
    <w:rsid w:val="00AB75AD"/>
    <w:rsid w:val="00AC05AF"/>
    <w:rsid w:val="00AC22E4"/>
    <w:rsid w:val="00AC2A94"/>
    <w:rsid w:val="00AC496E"/>
    <w:rsid w:val="00AC5676"/>
    <w:rsid w:val="00AC7712"/>
    <w:rsid w:val="00AC7F5A"/>
    <w:rsid w:val="00AD1D7B"/>
    <w:rsid w:val="00AD2481"/>
    <w:rsid w:val="00AD2DC4"/>
    <w:rsid w:val="00AD417A"/>
    <w:rsid w:val="00AD502D"/>
    <w:rsid w:val="00AD565C"/>
    <w:rsid w:val="00AD623B"/>
    <w:rsid w:val="00AD6820"/>
    <w:rsid w:val="00AD70E9"/>
    <w:rsid w:val="00AD79EA"/>
    <w:rsid w:val="00AE216E"/>
    <w:rsid w:val="00AE2E3F"/>
    <w:rsid w:val="00AE3221"/>
    <w:rsid w:val="00AE32DF"/>
    <w:rsid w:val="00AE4BD8"/>
    <w:rsid w:val="00AE4BE0"/>
    <w:rsid w:val="00AE6198"/>
    <w:rsid w:val="00AE627A"/>
    <w:rsid w:val="00AE6E35"/>
    <w:rsid w:val="00AF05D3"/>
    <w:rsid w:val="00AF0A8F"/>
    <w:rsid w:val="00AF173A"/>
    <w:rsid w:val="00AF47D9"/>
    <w:rsid w:val="00AF5802"/>
    <w:rsid w:val="00AF69B8"/>
    <w:rsid w:val="00B00A67"/>
    <w:rsid w:val="00B00CFE"/>
    <w:rsid w:val="00B00FCF"/>
    <w:rsid w:val="00B0128E"/>
    <w:rsid w:val="00B01C39"/>
    <w:rsid w:val="00B02034"/>
    <w:rsid w:val="00B03522"/>
    <w:rsid w:val="00B0480D"/>
    <w:rsid w:val="00B04A07"/>
    <w:rsid w:val="00B11F78"/>
    <w:rsid w:val="00B12CBD"/>
    <w:rsid w:val="00B13DBB"/>
    <w:rsid w:val="00B155F3"/>
    <w:rsid w:val="00B15BC8"/>
    <w:rsid w:val="00B16B1A"/>
    <w:rsid w:val="00B20A4C"/>
    <w:rsid w:val="00B23787"/>
    <w:rsid w:val="00B2430A"/>
    <w:rsid w:val="00B27D91"/>
    <w:rsid w:val="00B30B14"/>
    <w:rsid w:val="00B30EE9"/>
    <w:rsid w:val="00B310A2"/>
    <w:rsid w:val="00B31794"/>
    <w:rsid w:val="00B31ADC"/>
    <w:rsid w:val="00B3210D"/>
    <w:rsid w:val="00B32347"/>
    <w:rsid w:val="00B327B2"/>
    <w:rsid w:val="00B358EF"/>
    <w:rsid w:val="00B37210"/>
    <w:rsid w:val="00B40A7C"/>
    <w:rsid w:val="00B418B0"/>
    <w:rsid w:val="00B41D69"/>
    <w:rsid w:val="00B4244E"/>
    <w:rsid w:val="00B436F1"/>
    <w:rsid w:val="00B4388F"/>
    <w:rsid w:val="00B440DC"/>
    <w:rsid w:val="00B4591E"/>
    <w:rsid w:val="00B53FC4"/>
    <w:rsid w:val="00B549FD"/>
    <w:rsid w:val="00B54F88"/>
    <w:rsid w:val="00B55ACC"/>
    <w:rsid w:val="00B56E96"/>
    <w:rsid w:val="00B62303"/>
    <w:rsid w:val="00B62AB5"/>
    <w:rsid w:val="00B63237"/>
    <w:rsid w:val="00B6574B"/>
    <w:rsid w:val="00B65897"/>
    <w:rsid w:val="00B67B58"/>
    <w:rsid w:val="00B67ECA"/>
    <w:rsid w:val="00B7093A"/>
    <w:rsid w:val="00B70DD5"/>
    <w:rsid w:val="00B71373"/>
    <w:rsid w:val="00B71955"/>
    <w:rsid w:val="00B72447"/>
    <w:rsid w:val="00B72DDD"/>
    <w:rsid w:val="00B73B42"/>
    <w:rsid w:val="00B749FA"/>
    <w:rsid w:val="00B756BD"/>
    <w:rsid w:val="00B75B7E"/>
    <w:rsid w:val="00B7718E"/>
    <w:rsid w:val="00B773EC"/>
    <w:rsid w:val="00B803E0"/>
    <w:rsid w:val="00B81566"/>
    <w:rsid w:val="00B8193C"/>
    <w:rsid w:val="00B81992"/>
    <w:rsid w:val="00B83C1C"/>
    <w:rsid w:val="00B853B7"/>
    <w:rsid w:val="00B86175"/>
    <w:rsid w:val="00B8702F"/>
    <w:rsid w:val="00B90DC4"/>
    <w:rsid w:val="00B92B3F"/>
    <w:rsid w:val="00B935D4"/>
    <w:rsid w:val="00B93680"/>
    <w:rsid w:val="00B942D8"/>
    <w:rsid w:val="00B95582"/>
    <w:rsid w:val="00B959F1"/>
    <w:rsid w:val="00B97BCF"/>
    <w:rsid w:val="00BA1587"/>
    <w:rsid w:val="00BA2117"/>
    <w:rsid w:val="00BA2210"/>
    <w:rsid w:val="00BA42BD"/>
    <w:rsid w:val="00BA6120"/>
    <w:rsid w:val="00BA619A"/>
    <w:rsid w:val="00BA6344"/>
    <w:rsid w:val="00BA6BAD"/>
    <w:rsid w:val="00BA6C79"/>
    <w:rsid w:val="00BA716B"/>
    <w:rsid w:val="00BB0B5C"/>
    <w:rsid w:val="00BB131B"/>
    <w:rsid w:val="00BB16B0"/>
    <w:rsid w:val="00BB1C11"/>
    <w:rsid w:val="00BB1F77"/>
    <w:rsid w:val="00BB2EBC"/>
    <w:rsid w:val="00BB2F88"/>
    <w:rsid w:val="00BB3AAC"/>
    <w:rsid w:val="00BB3D69"/>
    <w:rsid w:val="00BB463F"/>
    <w:rsid w:val="00BB7180"/>
    <w:rsid w:val="00BB79CB"/>
    <w:rsid w:val="00BC26B9"/>
    <w:rsid w:val="00BC3112"/>
    <w:rsid w:val="00BC35AC"/>
    <w:rsid w:val="00BC3A7F"/>
    <w:rsid w:val="00BC418A"/>
    <w:rsid w:val="00BC4C5F"/>
    <w:rsid w:val="00BC532B"/>
    <w:rsid w:val="00BC79FC"/>
    <w:rsid w:val="00BD0512"/>
    <w:rsid w:val="00BD0A45"/>
    <w:rsid w:val="00BD0E7F"/>
    <w:rsid w:val="00BD105C"/>
    <w:rsid w:val="00BD2D55"/>
    <w:rsid w:val="00BD2F14"/>
    <w:rsid w:val="00BD2F87"/>
    <w:rsid w:val="00BD6CC4"/>
    <w:rsid w:val="00BD6E30"/>
    <w:rsid w:val="00BE02E2"/>
    <w:rsid w:val="00BE0ABB"/>
    <w:rsid w:val="00BE1399"/>
    <w:rsid w:val="00BE1C5C"/>
    <w:rsid w:val="00BE2201"/>
    <w:rsid w:val="00BE2C92"/>
    <w:rsid w:val="00BE42D4"/>
    <w:rsid w:val="00BE4735"/>
    <w:rsid w:val="00BE4846"/>
    <w:rsid w:val="00BE5F5D"/>
    <w:rsid w:val="00BE6AEC"/>
    <w:rsid w:val="00BF0607"/>
    <w:rsid w:val="00BF0D30"/>
    <w:rsid w:val="00BF24FC"/>
    <w:rsid w:val="00BF30F4"/>
    <w:rsid w:val="00BF3182"/>
    <w:rsid w:val="00BF322B"/>
    <w:rsid w:val="00BF3C39"/>
    <w:rsid w:val="00BF5D1B"/>
    <w:rsid w:val="00BF6559"/>
    <w:rsid w:val="00BF6619"/>
    <w:rsid w:val="00BF6837"/>
    <w:rsid w:val="00C012C2"/>
    <w:rsid w:val="00C0144A"/>
    <w:rsid w:val="00C0280B"/>
    <w:rsid w:val="00C03AEC"/>
    <w:rsid w:val="00C0413C"/>
    <w:rsid w:val="00C07386"/>
    <w:rsid w:val="00C10EBA"/>
    <w:rsid w:val="00C126B8"/>
    <w:rsid w:val="00C12FAB"/>
    <w:rsid w:val="00C13175"/>
    <w:rsid w:val="00C14704"/>
    <w:rsid w:val="00C168A9"/>
    <w:rsid w:val="00C16C61"/>
    <w:rsid w:val="00C16C67"/>
    <w:rsid w:val="00C245A3"/>
    <w:rsid w:val="00C25350"/>
    <w:rsid w:val="00C25FAA"/>
    <w:rsid w:val="00C260B6"/>
    <w:rsid w:val="00C31A22"/>
    <w:rsid w:val="00C31B67"/>
    <w:rsid w:val="00C3350D"/>
    <w:rsid w:val="00C3551B"/>
    <w:rsid w:val="00C358C3"/>
    <w:rsid w:val="00C36DE2"/>
    <w:rsid w:val="00C3737D"/>
    <w:rsid w:val="00C40875"/>
    <w:rsid w:val="00C416BE"/>
    <w:rsid w:val="00C4480F"/>
    <w:rsid w:val="00C44F14"/>
    <w:rsid w:val="00C459BC"/>
    <w:rsid w:val="00C5154A"/>
    <w:rsid w:val="00C5446B"/>
    <w:rsid w:val="00C549C8"/>
    <w:rsid w:val="00C54DE1"/>
    <w:rsid w:val="00C5602A"/>
    <w:rsid w:val="00C57EA8"/>
    <w:rsid w:val="00C60BC7"/>
    <w:rsid w:val="00C62EC1"/>
    <w:rsid w:val="00C67645"/>
    <w:rsid w:val="00C67E26"/>
    <w:rsid w:val="00C7036A"/>
    <w:rsid w:val="00C715F8"/>
    <w:rsid w:val="00C71AA2"/>
    <w:rsid w:val="00C71CDC"/>
    <w:rsid w:val="00C7224B"/>
    <w:rsid w:val="00C725CD"/>
    <w:rsid w:val="00C73108"/>
    <w:rsid w:val="00C74677"/>
    <w:rsid w:val="00C74881"/>
    <w:rsid w:val="00C828D0"/>
    <w:rsid w:val="00C85769"/>
    <w:rsid w:val="00C860B4"/>
    <w:rsid w:val="00C925FA"/>
    <w:rsid w:val="00C9429C"/>
    <w:rsid w:val="00C960DC"/>
    <w:rsid w:val="00C96893"/>
    <w:rsid w:val="00CA0526"/>
    <w:rsid w:val="00CA1E03"/>
    <w:rsid w:val="00CA2C4E"/>
    <w:rsid w:val="00CA369D"/>
    <w:rsid w:val="00CA377C"/>
    <w:rsid w:val="00CA5643"/>
    <w:rsid w:val="00CA5D96"/>
    <w:rsid w:val="00CA60AC"/>
    <w:rsid w:val="00CA67E3"/>
    <w:rsid w:val="00CA7D40"/>
    <w:rsid w:val="00CB0FA3"/>
    <w:rsid w:val="00CB1114"/>
    <w:rsid w:val="00CB2D43"/>
    <w:rsid w:val="00CB4BB0"/>
    <w:rsid w:val="00CB4ED6"/>
    <w:rsid w:val="00CB5185"/>
    <w:rsid w:val="00CB7765"/>
    <w:rsid w:val="00CC0C3C"/>
    <w:rsid w:val="00CC2688"/>
    <w:rsid w:val="00CC4189"/>
    <w:rsid w:val="00CC55A1"/>
    <w:rsid w:val="00CD0A46"/>
    <w:rsid w:val="00CD1944"/>
    <w:rsid w:val="00CD1DE3"/>
    <w:rsid w:val="00CD313F"/>
    <w:rsid w:val="00CD5F68"/>
    <w:rsid w:val="00CD6001"/>
    <w:rsid w:val="00CD6FF8"/>
    <w:rsid w:val="00CE23D8"/>
    <w:rsid w:val="00CE54FE"/>
    <w:rsid w:val="00CE5698"/>
    <w:rsid w:val="00CE772C"/>
    <w:rsid w:val="00CE7741"/>
    <w:rsid w:val="00CE78DB"/>
    <w:rsid w:val="00CF00BE"/>
    <w:rsid w:val="00CF02E7"/>
    <w:rsid w:val="00CF497B"/>
    <w:rsid w:val="00CF734B"/>
    <w:rsid w:val="00D0053B"/>
    <w:rsid w:val="00D00B18"/>
    <w:rsid w:val="00D028AC"/>
    <w:rsid w:val="00D02C75"/>
    <w:rsid w:val="00D04B4F"/>
    <w:rsid w:val="00D04D6A"/>
    <w:rsid w:val="00D0538A"/>
    <w:rsid w:val="00D06729"/>
    <w:rsid w:val="00D06A41"/>
    <w:rsid w:val="00D07D99"/>
    <w:rsid w:val="00D07E21"/>
    <w:rsid w:val="00D07EA8"/>
    <w:rsid w:val="00D10D2F"/>
    <w:rsid w:val="00D10E22"/>
    <w:rsid w:val="00D1112B"/>
    <w:rsid w:val="00D12A27"/>
    <w:rsid w:val="00D12BA2"/>
    <w:rsid w:val="00D12F18"/>
    <w:rsid w:val="00D13D2C"/>
    <w:rsid w:val="00D1440B"/>
    <w:rsid w:val="00D14513"/>
    <w:rsid w:val="00D164F8"/>
    <w:rsid w:val="00D17D18"/>
    <w:rsid w:val="00D20F16"/>
    <w:rsid w:val="00D215B5"/>
    <w:rsid w:val="00D228F8"/>
    <w:rsid w:val="00D22BFC"/>
    <w:rsid w:val="00D241B7"/>
    <w:rsid w:val="00D241FE"/>
    <w:rsid w:val="00D25E03"/>
    <w:rsid w:val="00D2614A"/>
    <w:rsid w:val="00D278C2"/>
    <w:rsid w:val="00D3065A"/>
    <w:rsid w:val="00D313F4"/>
    <w:rsid w:val="00D3265F"/>
    <w:rsid w:val="00D34BA4"/>
    <w:rsid w:val="00D35066"/>
    <w:rsid w:val="00D35B3E"/>
    <w:rsid w:val="00D37801"/>
    <w:rsid w:val="00D41DDD"/>
    <w:rsid w:val="00D41F41"/>
    <w:rsid w:val="00D42304"/>
    <w:rsid w:val="00D42C27"/>
    <w:rsid w:val="00D435B5"/>
    <w:rsid w:val="00D439FE"/>
    <w:rsid w:val="00D44B33"/>
    <w:rsid w:val="00D45281"/>
    <w:rsid w:val="00D46E51"/>
    <w:rsid w:val="00D47319"/>
    <w:rsid w:val="00D521EC"/>
    <w:rsid w:val="00D52881"/>
    <w:rsid w:val="00D5328B"/>
    <w:rsid w:val="00D5409F"/>
    <w:rsid w:val="00D56E89"/>
    <w:rsid w:val="00D61DA1"/>
    <w:rsid w:val="00D70916"/>
    <w:rsid w:val="00D71470"/>
    <w:rsid w:val="00D71FC7"/>
    <w:rsid w:val="00D732CA"/>
    <w:rsid w:val="00D737B8"/>
    <w:rsid w:val="00D74E81"/>
    <w:rsid w:val="00D76710"/>
    <w:rsid w:val="00D777EE"/>
    <w:rsid w:val="00D814AF"/>
    <w:rsid w:val="00D82510"/>
    <w:rsid w:val="00D83BD4"/>
    <w:rsid w:val="00D840F3"/>
    <w:rsid w:val="00D84126"/>
    <w:rsid w:val="00D8633C"/>
    <w:rsid w:val="00D86AB3"/>
    <w:rsid w:val="00D905D9"/>
    <w:rsid w:val="00D9457C"/>
    <w:rsid w:val="00D94C4B"/>
    <w:rsid w:val="00D9520D"/>
    <w:rsid w:val="00D95DAB"/>
    <w:rsid w:val="00DA2EB4"/>
    <w:rsid w:val="00DA398C"/>
    <w:rsid w:val="00DA39D7"/>
    <w:rsid w:val="00DA40A0"/>
    <w:rsid w:val="00DA6300"/>
    <w:rsid w:val="00DA6BBB"/>
    <w:rsid w:val="00DA740E"/>
    <w:rsid w:val="00DB1103"/>
    <w:rsid w:val="00DB6EB7"/>
    <w:rsid w:val="00DB6FF0"/>
    <w:rsid w:val="00DB70C4"/>
    <w:rsid w:val="00DC1B72"/>
    <w:rsid w:val="00DC1F70"/>
    <w:rsid w:val="00DC28FF"/>
    <w:rsid w:val="00DC2F94"/>
    <w:rsid w:val="00DC423E"/>
    <w:rsid w:val="00DC54DD"/>
    <w:rsid w:val="00DC5CC0"/>
    <w:rsid w:val="00DC780D"/>
    <w:rsid w:val="00DC7B2F"/>
    <w:rsid w:val="00DD007A"/>
    <w:rsid w:val="00DD0FC6"/>
    <w:rsid w:val="00DD1F21"/>
    <w:rsid w:val="00DD218B"/>
    <w:rsid w:val="00DD3D9E"/>
    <w:rsid w:val="00DD62EA"/>
    <w:rsid w:val="00DD6C67"/>
    <w:rsid w:val="00DD7908"/>
    <w:rsid w:val="00DD7AFA"/>
    <w:rsid w:val="00DE0472"/>
    <w:rsid w:val="00DE08F3"/>
    <w:rsid w:val="00DE2876"/>
    <w:rsid w:val="00DE4023"/>
    <w:rsid w:val="00DE5FAC"/>
    <w:rsid w:val="00DE68B3"/>
    <w:rsid w:val="00DE69C2"/>
    <w:rsid w:val="00DE7590"/>
    <w:rsid w:val="00DF199F"/>
    <w:rsid w:val="00DF27C8"/>
    <w:rsid w:val="00DF39D3"/>
    <w:rsid w:val="00DF458B"/>
    <w:rsid w:val="00DF5CE3"/>
    <w:rsid w:val="00DF6AF8"/>
    <w:rsid w:val="00E009D1"/>
    <w:rsid w:val="00E01ACC"/>
    <w:rsid w:val="00E01F9A"/>
    <w:rsid w:val="00E01FD7"/>
    <w:rsid w:val="00E03FBF"/>
    <w:rsid w:val="00E053CC"/>
    <w:rsid w:val="00E06827"/>
    <w:rsid w:val="00E14074"/>
    <w:rsid w:val="00E148AB"/>
    <w:rsid w:val="00E15941"/>
    <w:rsid w:val="00E16641"/>
    <w:rsid w:val="00E2097B"/>
    <w:rsid w:val="00E21A64"/>
    <w:rsid w:val="00E21AE1"/>
    <w:rsid w:val="00E21E3E"/>
    <w:rsid w:val="00E238D9"/>
    <w:rsid w:val="00E24724"/>
    <w:rsid w:val="00E254BD"/>
    <w:rsid w:val="00E26BBC"/>
    <w:rsid w:val="00E27B20"/>
    <w:rsid w:val="00E27C8C"/>
    <w:rsid w:val="00E30A33"/>
    <w:rsid w:val="00E320DA"/>
    <w:rsid w:val="00E33B06"/>
    <w:rsid w:val="00E35674"/>
    <w:rsid w:val="00E35E19"/>
    <w:rsid w:val="00E370F7"/>
    <w:rsid w:val="00E403A6"/>
    <w:rsid w:val="00E42A03"/>
    <w:rsid w:val="00E42E4A"/>
    <w:rsid w:val="00E43146"/>
    <w:rsid w:val="00E44871"/>
    <w:rsid w:val="00E44E6E"/>
    <w:rsid w:val="00E46593"/>
    <w:rsid w:val="00E4706D"/>
    <w:rsid w:val="00E47F0B"/>
    <w:rsid w:val="00E54492"/>
    <w:rsid w:val="00E54F31"/>
    <w:rsid w:val="00E5527D"/>
    <w:rsid w:val="00E55387"/>
    <w:rsid w:val="00E56078"/>
    <w:rsid w:val="00E5727F"/>
    <w:rsid w:val="00E57DFB"/>
    <w:rsid w:val="00E601AE"/>
    <w:rsid w:val="00E603DA"/>
    <w:rsid w:val="00E607D0"/>
    <w:rsid w:val="00E60E1D"/>
    <w:rsid w:val="00E63717"/>
    <w:rsid w:val="00E64008"/>
    <w:rsid w:val="00E66047"/>
    <w:rsid w:val="00E67552"/>
    <w:rsid w:val="00E67A30"/>
    <w:rsid w:val="00E67DD4"/>
    <w:rsid w:val="00E71AE7"/>
    <w:rsid w:val="00E726F5"/>
    <w:rsid w:val="00E72EDC"/>
    <w:rsid w:val="00E74116"/>
    <w:rsid w:val="00E7604F"/>
    <w:rsid w:val="00E76DA6"/>
    <w:rsid w:val="00E778EF"/>
    <w:rsid w:val="00E77998"/>
    <w:rsid w:val="00E77EAF"/>
    <w:rsid w:val="00E81515"/>
    <w:rsid w:val="00E81911"/>
    <w:rsid w:val="00E81922"/>
    <w:rsid w:val="00E819CB"/>
    <w:rsid w:val="00E82297"/>
    <w:rsid w:val="00E8405C"/>
    <w:rsid w:val="00E85FB1"/>
    <w:rsid w:val="00E86046"/>
    <w:rsid w:val="00E86833"/>
    <w:rsid w:val="00E8737C"/>
    <w:rsid w:val="00E90BDD"/>
    <w:rsid w:val="00E91965"/>
    <w:rsid w:val="00E9197D"/>
    <w:rsid w:val="00E925B1"/>
    <w:rsid w:val="00E92959"/>
    <w:rsid w:val="00E93DA6"/>
    <w:rsid w:val="00E94310"/>
    <w:rsid w:val="00E95558"/>
    <w:rsid w:val="00E95631"/>
    <w:rsid w:val="00E96F90"/>
    <w:rsid w:val="00EA1EBB"/>
    <w:rsid w:val="00EA1ECC"/>
    <w:rsid w:val="00EA1F6C"/>
    <w:rsid w:val="00EA351F"/>
    <w:rsid w:val="00EA4483"/>
    <w:rsid w:val="00EA6C6B"/>
    <w:rsid w:val="00EB08F9"/>
    <w:rsid w:val="00EB19DB"/>
    <w:rsid w:val="00EB2C25"/>
    <w:rsid w:val="00EB40AA"/>
    <w:rsid w:val="00EB423F"/>
    <w:rsid w:val="00EB4C0D"/>
    <w:rsid w:val="00EB4D38"/>
    <w:rsid w:val="00EB52A0"/>
    <w:rsid w:val="00EB6A01"/>
    <w:rsid w:val="00EC137B"/>
    <w:rsid w:val="00EC3FA0"/>
    <w:rsid w:val="00EC438F"/>
    <w:rsid w:val="00EC51F0"/>
    <w:rsid w:val="00EC5D3F"/>
    <w:rsid w:val="00EC63BA"/>
    <w:rsid w:val="00EC69DF"/>
    <w:rsid w:val="00EC799E"/>
    <w:rsid w:val="00ED04CD"/>
    <w:rsid w:val="00ED108D"/>
    <w:rsid w:val="00ED1C7C"/>
    <w:rsid w:val="00ED2933"/>
    <w:rsid w:val="00ED3A99"/>
    <w:rsid w:val="00ED56FD"/>
    <w:rsid w:val="00ED62C6"/>
    <w:rsid w:val="00EE08C6"/>
    <w:rsid w:val="00EE2BCE"/>
    <w:rsid w:val="00EE542C"/>
    <w:rsid w:val="00EE66EA"/>
    <w:rsid w:val="00EF1CDA"/>
    <w:rsid w:val="00EF212F"/>
    <w:rsid w:val="00EF229B"/>
    <w:rsid w:val="00EF2D2D"/>
    <w:rsid w:val="00EF39FD"/>
    <w:rsid w:val="00EF52ED"/>
    <w:rsid w:val="00EF717C"/>
    <w:rsid w:val="00F00054"/>
    <w:rsid w:val="00F043B8"/>
    <w:rsid w:val="00F04A88"/>
    <w:rsid w:val="00F050BF"/>
    <w:rsid w:val="00F058A1"/>
    <w:rsid w:val="00F06842"/>
    <w:rsid w:val="00F06A1B"/>
    <w:rsid w:val="00F06A64"/>
    <w:rsid w:val="00F0712A"/>
    <w:rsid w:val="00F07DBC"/>
    <w:rsid w:val="00F1063D"/>
    <w:rsid w:val="00F107FD"/>
    <w:rsid w:val="00F1279E"/>
    <w:rsid w:val="00F14CB3"/>
    <w:rsid w:val="00F162AD"/>
    <w:rsid w:val="00F170F7"/>
    <w:rsid w:val="00F17B2A"/>
    <w:rsid w:val="00F17E6F"/>
    <w:rsid w:val="00F20331"/>
    <w:rsid w:val="00F2351E"/>
    <w:rsid w:val="00F235BE"/>
    <w:rsid w:val="00F25309"/>
    <w:rsid w:val="00F27233"/>
    <w:rsid w:val="00F301DF"/>
    <w:rsid w:val="00F318AE"/>
    <w:rsid w:val="00F33CF3"/>
    <w:rsid w:val="00F34BFE"/>
    <w:rsid w:val="00F36224"/>
    <w:rsid w:val="00F37A50"/>
    <w:rsid w:val="00F37EBF"/>
    <w:rsid w:val="00F408E9"/>
    <w:rsid w:val="00F41319"/>
    <w:rsid w:val="00F42484"/>
    <w:rsid w:val="00F4436C"/>
    <w:rsid w:val="00F44990"/>
    <w:rsid w:val="00F4502B"/>
    <w:rsid w:val="00F4671A"/>
    <w:rsid w:val="00F50C63"/>
    <w:rsid w:val="00F51380"/>
    <w:rsid w:val="00F52EB8"/>
    <w:rsid w:val="00F60B62"/>
    <w:rsid w:val="00F61457"/>
    <w:rsid w:val="00F6292A"/>
    <w:rsid w:val="00F63C93"/>
    <w:rsid w:val="00F64599"/>
    <w:rsid w:val="00F654B1"/>
    <w:rsid w:val="00F660E0"/>
    <w:rsid w:val="00F6626F"/>
    <w:rsid w:val="00F675BD"/>
    <w:rsid w:val="00F702C1"/>
    <w:rsid w:val="00F72FEE"/>
    <w:rsid w:val="00F73FCD"/>
    <w:rsid w:val="00F74BAA"/>
    <w:rsid w:val="00F75465"/>
    <w:rsid w:val="00F756E7"/>
    <w:rsid w:val="00F76709"/>
    <w:rsid w:val="00F8202F"/>
    <w:rsid w:val="00F82C86"/>
    <w:rsid w:val="00F8363E"/>
    <w:rsid w:val="00F85FE2"/>
    <w:rsid w:val="00F871CE"/>
    <w:rsid w:val="00F87CEF"/>
    <w:rsid w:val="00F91AF0"/>
    <w:rsid w:val="00F9270B"/>
    <w:rsid w:val="00F932FB"/>
    <w:rsid w:val="00F9381B"/>
    <w:rsid w:val="00F953B8"/>
    <w:rsid w:val="00F956DF"/>
    <w:rsid w:val="00F962E1"/>
    <w:rsid w:val="00F965EC"/>
    <w:rsid w:val="00F96C6D"/>
    <w:rsid w:val="00F96C75"/>
    <w:rsid w:val="00FA0124"/>
    <w:rsid w:val="00FA0D3C"/>
    <w:rsid w:val="00FA442C"/>
    <w:rsid w:val="00FA4E61"/>
    <w:rsid w:val="00FA799B"/>
    <w:rsid w:val="00FA7A56"/>
    <w:rsid w:val="00FB16D8"/>
    <w:rsid w:val="00FB2B97"/>
    <w:rsid w:val="00FB389E"/>
    <w:rsid w:val="00FB418A"/>
    <w:rsid w:val="00FB64A8"/>
    <w:rsid w:val="00FB6CA4"/>
    <w:rsid w:val="00FC04DB"/>
    <w:rsid w:val="00FC075F"/>
    <w:rsid w:val="00FC0A0A"/>
    <w:rsid w:val="00FC674B"/>
    <w:rsid w:val="00FD3040"/>
    <w:rsid w:val="00FD557B"/>
    <w:rsid w:val="00FE1C84"/>
    <w:rsid w:val="00FE3E92"/>
    <w:rsid w:val="00FE5763"/>
    <w:rsid w:val="00FE5E20"/>
    <w:rsid w:val="00FE6B23"/>
    <w:rsid w:val="00FE6D5B"/>
    <w:rsid w:val="00FE7034"/>
    <w:rsid w:val="00FE7799"/>
    <w:rsid w:val="00FF0719"/>
    <w:rsid w:val="00FF1483"/>
    <w:rsid w:val="00FF1A5F"/>
    <w:rsid w:val="00FF39A7"/>
    <w:rsid w:val="0D147C33"/>
    <w:rsid w:val="2949E673"/>
    <w:rsid w:val="3B241036"/>
    <w:rsid w:val="5DE7B1FD"/>
    <w:rsid w:val="6DD5D073"/>
    <w:rsid w:val="75689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33799C8F-895C-406B-B8C3-E0560DDD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950D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normaltextrun">
    <w:name w:val="normaltextrun"/>
    <w:basedOn w:val="DefaultParagraphFont"/>
    <w:rsid w:val="00434A25"/>
  </w:style>
  <w:style w:type="character" w:styleId="UnresolvedMention">
    <w:name w:val="Unresolved Mention"/>
    <w:basedOn w:val="DefaultParagraphFont"/>
    <w:uiPriority w:val="99"/>
    <w:semiHidden/>
    <w:unhideWhenUsed/>
    <w:rsid w:val="00434A25"/>
    <w:rPr>
      <w:color w:val="605E5C"/>
      <w:shd w:val="clear" w:color="auto" w:fill="E1DFDD"/>
    </w:rPr>
  </w:style>
  <w:style w:type="character" w:styleId="FollowedHyperlink">
    <w:name w:val="FollowedHyperlink"/>
    <w:basedOn w:val="DefaultParagraphFont"/>
    <w:semiHidden/>
    <w:unhideWhenUsed/>
    <w:rsid w:val="00A16F43"/>
    <w:rPr>
      <w:color w:val="800080" w:themeColor="followedHyperlink"/>
      <w:u w:val="single"/>
    </w:rPr>
  </w:style>
  <w:style w:type="character" w:customStyle="1" w:styleId="Heading1Char">
    <w:name w:val="Heading 1 Char"/>
    <w:basedOn w:val="DefaultParagraphFont"/>
    <w:link w:val="Heading1"/>
    <w:rsid w:val="00950D3D"/>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201CF0"/>
    <w:rPr>
      <w:lang w:eastAsia="en-US"/>
    </w:rPr>
  </w:style>
  <w:style w:type="table" w:styleId="TableGrid">
    <w:name w:val="Table Grid"/>
    <w:basedOn w:val="TableNormal"/>
    <w:rsid w:val="0071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1440B"/>
  </w:style>
  <w:style w:type="character" w:styleId="PlaceholderText">
    <w:name w:val="Placeholder Text"/>
    <w:basedOn w:val="DefaultParagraphFont"/>
    <w:uiPriority w:val="99"/>
    <w:semiHidden/>
    <w:rsid w:val="00813F37"/>
    <w:rPr>
      <w:color w:val="666666"/>
    </w:rPr>
  </w:style>
  <w:style w:type="paragraph" w:styleId="NormalWeb">
    <w:name w:val="Normal (Web)"/>
    <w:basedOn w:val="Normal"/>
    <w:uiPriority w:val="99"/>
    <w:unhideWhenUsed/>
    <w:rsid w:val="0013047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0862">
      <w:bodyDiv w:val="1"/>
      <w:marLeft w:val="0"/>
      <w:marRight w:val="0"/>
      <w:marTop w:val="0"/>
      <w:marBottom w:val="0"/>
      <w:divBdr>
        <w:top w:val="none" w:sz="0" w:space="0" w:color="auto"/>
        <w:left w:val="none" w:sz="0" w:space="0" w:color="auto"/>
        <w:bottom w:val="none" w:sz="0" w:space="0" w:color="auto"/>
        <w:right w:val="none" w:sz="0" w:space="0" w:color="auto"/>
      </w:divBdr>
    </w:div>
    <w:div w:id="477965497">
      <w:bodyDiv w:val="1"/>
      <w:marLeft w:val="0"/>
      <w:marRight w:val="0"/>
      <w:marTop w:val="0"/>
      <w:marBottom w:val="0"/>
      <w:divBdr>
        <w:top w:val="none" w:sz="0" w:space="0" w:color="auto"/>
        <w:left w:val="none" w:sz="0" w:space="0" w:color="auto"/>
        <w:bottom w:val="none" w:sz="0" w:space="0" w:color="auto"/>
        <w:right w:val="none" w:sz="0" w:space="0" w:color="auto"/>
      </w:divBdr>
    </w:div>
    <w:div w:id="784810156">
      <w:bodyDiv w:val="1"/>
      <w:marLeft w:val="0"/>
      <w:marRight w:val="0"/>
      <w:marTop w:val="0"/>
      <w:marBottom w:val="0"/>
      <w:divBdr>
        <w:top w:val="none" w:sz="0" w:space="0" w:color="auto"/>
        <w:left w:val="none" w:sz="0" w:space="0" w:color="auto"/>
        <w:bottom w:val="none" w:sz="0" w:space="0" w:color="auto"/>
        <w:right w:val="none" w:sz="0" w:space="0" w:color="auto"/>
      </w:divBdr>
    </w:div>
    <w:div w:id="1144078458">
      <w:bodyDiv w:val="1"/>
      <w:marLeft w:val="0"/>
      <w:marRight w:val="0"/>
      <w:marTop w:val="0"/>
      <w:marBottom w:val="0"/>
      <w:divBdr>
        <w:top w:val="none" w:sz="0" w:space="0" w:color="auto"/>
        <w:left w:val="none" w:sz="0" w:space="0" w:color="auto"/>
        <w:bottom w:val="none" w:sz="0" w:space="0" w:color="auto"/>
        <w:right w:val="none" w:sz="0" w:space="0" w:color="auto"/>
      </w:divBdr>
    </w:div>
    <w:div w:id="13840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lippo.bisotti@sintef.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eo.gilardi@sintef.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sk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rpDocClassificationEnUs xmlns="8bbd4995-53b7-43e2-b62f-10947586ac31">Unrestricted</CorpDocClassificationEnUs>
    <CorpDocPageClassificationEnUs xmlns="8bbd4995-53b7-43e2-b62f-10947586ac31">Unrestricted</CorpDocPageClassificationEnUs>
    <CorpDocPageClassificationNbNo xmlns="8bbd4995-53b7-43e2-b62f-10947586ac31">Åpen</CorpDocPageClassificationNbNo>
    <CorpSiteAccess xmlns="8bbd4995-53b7-43e2-b62f-10947586ac31">Kun navngitte medlemmer</CorpSiteAccess>
    <CorpSiteClassification xmlns="8bbd4995-53b7-43e2-b62f-10947586ac31">Åpen</CorpSiteClassification>
    <CorpDocClassificationNbNo xmlns="8bbd4995-53b7-43e2-b62f-10947586ac31">Åpen</CorpDocClassificationNbNo>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WorkflowStatus xmlns="8bbd4995-53b7-43e2-b62f-10947586ac31" xsi:nil="true"/>
    <CorpSiteProjectOwner xmlns="8bbd4995-53b7-43e2-b62f-10947586ac31">
      <UserInfo>
        <DisplayName/>
        <AccountId xsi:nil="true"/>
        <AccountType/>
      </UserInfo>
    </CorpSiteProjectOwner>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691AFDED792F1A4BB871C390EA4C1671" ma:contentTypeVersion="82" ma:contentTypeDescription="Create a new document." ma:contentTypeScope="" ma:versionID="0a4ec1003a5afc69efbe824581f032b5">
  <xsd:schema xmlns:xsd="http://www.w3.org/2001/XMLSchema" xmlns:xs="http://www.w3.org/2001/XMLSchema" xmlns:p="http://schemas.microsoft.com/office/2006/metadata/properties" xmlns:ns2="8bbd4995-53b7-43e2-b62f-10947586ac31" xmlns:ns3="a3fe0746-3e74-40f2-a0a1-1103c2398d09" xmlns:ns4="c26a9900-3fe1-4ad5-a700-aa37a9f1b1aa" targetNamespace="http://schemas.microsoft.com/office/2006/metadata/properties" ma:root="true" ma:fieldsID="604b9ef8bbeaff887803f1ccea064e0a" ns2:_="" ns3:_="" ns4:_="">
    <xsd:import namespace="8bbd4995-53b7-43e2-b62f-10947586ac31"/>
    <xsd:import namespace="a3fe0746-3e74-40f2-a0a1-1103c2398d09"/>
    <xsd:import namespace="c26a9900-3fe1-4ad5-a700-aa37a9f1b1aa"/>
    <xsd:element name="properties">
      <xsd:complexType>
        <xsd:sequence>
          <xsd:element name="documentManagement">
            <xsd:complexType>
              <xsd:all>
                <xsd:element ref="ns2:ArchiveStatus" minOccurs="0"/>
                <xsd:element ref="ns2:CorpWorkflowApproval" minOccurs="0"/>
                <xsd:element ref="ns2:CorpWorkflowFeedback" minOccurs="0"/>
                <xsd:element ref="ns2:CorpWorkflowStatus"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ma:readOnly="false">
      <xsd:simpleType>
        <xsd:restriction base="dms:Text">
          <xsd:maxLength value="255"/>
        </xsd:restriction>
      </xsd:simpleType>
    </xsd:element>
    <xsd:element name="CorpWorkflowApproval" ma:index="9" nillable="true" ma:displayName="Status godkjenning" ma:internalName="CorpWorkflowApproval" ma:readOnly="false">
      <xsd:simpleType>
        <xsd:restriction base="dms:Text">
          <xsd:maxLength value="255"/>
        </xsd:restriction>
      </xsd:simpleType>
    </xsd:element>
    <xsd:element name="CorpWorkflowFeedback" ma:index="10" nillable="true" ma:displayName="Status kvalitetssikring" ma:internalName="CorpWorkflowFeedback" ma:readOnly="false">
      <xsd:simpleType>
        <xsd:restriction base="dms:Text">
          <xsd:maxLength value="255"/>
        </xsd:restriction>
      </xsd:simpleType>
    </xsd:element>
    <xsd:element name="CorpWorkflowStatus" ma:index="11" nillable="true" ma:displayName="Status arbeidsflyt" ma:internalName="CorpWorkflowStatus" ma:readOnly="false">
      <xsd:simpleType>
        <xsd:restriction base="dms:Text">
          <xsd:maxLength value="255"/>
        </xsd:restriction>
      </xsd:simpleType>
    </xsd:element>
    <xsd:element name="CorpSiteProjectNumber" ma:index="12" nillable="true" ma:displayName="Prosjektnummer" ma:default="" ma:internalName="CorpSiteProjectNumber" ma:readOnly="false">
      <xsd:simpleType>
        <xsd:restriction base="dms:Text">
          <xsd:maxLength value="255"/>
        </xsd:restriction>
      </xsd:simpleType>
    </xsd:element>
    <xsd:element name="CorpSiteProjectName" ma:index="13" nillable="true" ma:displayName="Prosjektnavn" ma:internalName="CorpSiteProjectName" ma:readOnly="false">
      <xsd:simpleType>
        <xsd:restriction base="dms:Text">
          <xsd:maxLength value="255"/>
        </xsd:restriction>
      </xsd:simpleType>
    </xsd:element>
    <xsd:element name="CorpSiteSubTitle" ma:index="14" nillable="true" ma:displayName="Undertittel" ma:internalName="CorpSiteSubTitle" ma:readOnly="false">
      <xsd:simpleType>
        <xsd:restriction base="dms:Text">
          <xsd:maxLength value="255"/>
        </xsd:restriction>
      </xsd:simpleType>
    </xsd:element>
    <xsd:element name="CorpSiteAccess" ma:index="15" nillable="true" ma:displayName="Lesetilgang" ma:default="Kun navngitte medlemmer" ma:format="Dropdown" ma:internalName="CorpSiteAccess" ma:readOnly="false">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ma:readOnly="false">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ma:readOnly="false">
      <xsd:simpleType>
        <xsd:restriction base="dms:Text">
          <xsd:maxLength value="255"/>
        </xsd:restriction>
      </xsd:simpleType>
    </xsd:element>
    <xsd:element name="CorpSiteProjectQA" ma:index="18" nillable="true" ma:displayName="Kvalitestsansvarlig" ma:list="UserInfo" ma:SharePointGroup="0" ma:internalName="CorpSiteProjectQ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ma:readOnly="false">
      <xsd:simpleType>
        <xsd:restriction base="dms:Text">
          <xsd:maxLength value="255"/>
        </xsd:restriction>
      </xsd:simpleType>
    </xsd:element>
    <xsd:element name="CorpSiteISBN" ma:index="22" nillable="true" ma:displayName="ISBN" ma:internalName="CorpSiteISBN" ma:readOnly="false">
      <xsd:simpleType>
        <xsd:restriction base="dms:Text">
          <xsd:maxLength value="255"/>
        </xsd:restriction>
      </xsd:simpleType>
    </xsd:element>
    <xsd:element name="CorpSiteCoAuthors" ma:index="23" nillable="true" ma:displayName="Medforfattere" ma:internalName="CorpSiteCoAuthors" ma:readOnly="false">
      <xsd:simpleType>
        <xsd:restriction base="dms:Text">
          <xsd:maxLength value="255"/>
        </xsd:restriction>
      </xsd:simpleType>
    </xsd:element>
    <xsd:element name="CorpSiteRecipientCompany" ma:index="24" nillable="true" ma:displayName="Mottakende selskap" ma:internalName="CorpSiteRecipientCompany" ma:readOnly="false">
      <xsd:simpleType>
        <xsd:restriction base="dms:Text">
          <xsd:maxLength value="255"/>
        </xsd:restriction>
      </xsd:simpleType>
    </xsd:element>
    <xsd:element name="CorpSiteRecipientPerson" ma:index="25" nillable="true" ma:displayName="Mottakende person" ma:internalName="CorpSiteRecipientPerson" ma:readOnly="false">
      <xsd:simpleType>
        <xsd:restriction base="dms:Text">
          <xsd:maxLength value="255"/>
        </xsd:restriction>
      </xsd:simpleType>
    </xsd:element>
    <xsd:element name="CorpSiteOurRef" ma:index="26" nillable="true" ma:displayName="Vår ref" ma:internalName="CorpSiteOurRef" ma:readOnly="false">
      <xsd:simpleType>
        <xsd:restriction base="dms:Text">
          <xsd:maxLength value="255"/>
        </xsd:restriction>
      </xsd:simpleType>
    </xsd:element>
    <xsd:element name="CorpSiteDocumentAuthor" ma:index="27" nillable="true" ma:displayName="Hovedforfatter" ma:internalName="CorpSiteDocument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ma:readOnly="false">
      <xsd:simpleType>
        <xsd:restriction base="dms:Note">
          <xsd:maxLength value="255"/>
        </xsd:restriction>
      </xsd:simpleType>
    </xsd:element>
    <xsd:element name="CorpSiteZipContact" ma:index="29" nillable="true" ma:displayName="Kontakt" ma:internalName="CorpSiteZipContact" ma:readOnly="false">
      <xsd:simpleType>
        <xsd:restriction base="dms:Note">
          <xsd:maxLength value="255"/>
        </xsd:restriction>
      </xsd:simpleType>
    </xsd:element>
    <xsd:element name="CorpSiteVATNumber" ma:index="30" nillable="true" ma:displayName="Foretaksnummer" ma:internalName="CorpSiteVATNumber" ma:readOnly="false">
      <xsd:simpleType>
        <xsd:restriction base="dms:Text">
          <xsd:maxLength value="255"/>
        </xsd:restriction>
      </xsd:simpleType>
    </xsd:element>
    <xsd:element name="CorpSiteInstituteEmail" ma:index="31" nillable="true" ma:displayName="E-post institutt" ma:internalName="CorpSiteInstituteEmail" ma:readOnly="false">
      <xsd:simpleType>
        <xsd:restriction base="dms:Text">
          <xsd:maxLength value="255"/>
        </xsd:restriction>
      </xsd:simpleType>
    </xsd:element>
    <xsd:element name="CorpDocPageClassificationNbNo" ma:index="32" nillable="true" ma:displayName="Gradering Denne Siden" ma:default="Åpen" ma:internalName="CorpDocPageClassificationNbNo" ma:readOnly="false">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ma:readOnly="false">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ma:readOnly="false">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ma:readOnly="false">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ma:readOnly="false">
      <xsd:simpleType>
        <xsd:restriction base="dms:Text">
          <xsd:maxLength value="255"/>
        </xsd:restriction>
      </xsd:simpleType>
    </xsd:element>
    <xsd:element name="CorpSiteInstitutePhone" ma:index="37" nillable="true" ma:displayName="Institutt telefon" ma:internalName="CorpSiteInstitutePhone" ma:readOnly="false">
      <xsd:simpleType>
        <xsd:restriction base="dms:Text">
          <xsd:maxLength value="255"/>
        </xsd:restriction>
      </xsd:simpleType>
    </xsd:element>
    <xsd:element name="CorpSiteDocLanguage" ma:index="38" nillable="true" ma:displayName="Språk" ma:internalName="CorpSiteDocLanguage" ma:readOnly="false">
      <xsd:simpleType>
        <xsd:restriction base="dms:Text">
          <xsd:maxLength value="255"/>
        </xsd:restriction>
      </xsd:simpleType>
    </xsd:element>
    <xsd:element name="CorpDocInstitute" ma:index="39" nillable="true" ma:displayName="Institutt" ma:internalName="CorpDocInstitute" ma:readOnly="false">
      <xsd:simpleType>
        <xsd:restriction base="dms:Text">
          <xsd:maxLength value="255"/>
        </xsd:restriction>
      </xsd:simpleType>
    </xsd:element>
    <xsd:element name="CorpDocVersion" ma:index="40" nillable="true" ma:displayName="Versjon" ma:internalName="CorpDoc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e0746-3e74-40f2-a0a1-1103c2398d09"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a9900-3fe1-4ad5-a700-aa37a9f1b1aa"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2.xml><?xml version="1.0" encoding="utf-8"?>
<ds:datastoreItem xmlns:ds="http://schemas.openxmlformats.org/officeDocument/2006/customXml" ds:itemID="{5D7C0FCD-67AE-4827-BF6A-178AF1DDB844}">
  <ds:schemaRefs>
    <ds:schemaRef ds:uri="http://schemas.microsoft.com/office/2006/metadata/properties"/>
    <ds:schemaRef ds:uri="http://schemas.microsoft.com/office/infopath/2007/PartnerControls"/>
    <ds:schemaRef ds:uri="8bbd4995-53b7-43e2-b62f-10947586ac31"/>
  </ds:schemaRefs>
</ds:datastoreItem>
</file>

<file path=customXml/itemProps3.xml><?xml version="1.0" encoding="utf-8"?>
<ds:datastoreItem xmlns:ds="http://schemas.openxmlformats.org/officeDocument/2006/customXml" ds:itemID="{5E575EF7-5D8C-4D43-B54C-1483E1392587}"/>
</file>

<file path=customXml/itemProps4.xml><?xml version="1.0" encoding="utf-8"?>
<ds:datastoreItem xmlns:ds="http://schemas.openxmlformats.org/officeDocument/2006/customXml" ds:itemID="{8469AA41-4761-4050-A2F2-BA2E07C29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4828</TotalTime>
  <Pages>6</Pages>
  <Words>2649</Words>
  <Characters>14897</Characters>
  <Application>Microsoft Office Word</Application>
  <DocSecurity>0</DocSecurity>
  <Lines>453</Lines>
  <Paragraphs>305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17280</CharactersWithSpaces>
  <SharedDoc>false</SharedDoc>
  <HLinks>
    <vt:vector size="18" baseType="variant">
      <vt:variant>
        <vt:i4>1114113</vt:i4>
      </vt:variant>
      <vt:variant>
        <vt:i4>33</vt:i4>
      </vt:variant>
      <vt:variant>
        <vt:i4>0</vt:i4>
      </vt:variant>
      <vt:variant>
        <vt:i4>5</vt:i4>
      </vt:variant>
      <vt:variant>
        <vt:lpwstr>https://ceskdata.com/</vt:lpwstr>
      </vt:variant>
      <vt:variant>
        <vt:lpwstr/>
      </vt:variant>
      <vt:variant>
        <vt:i4>4325427</vt:i4>
      </vt:variant>
      <vt:variant>
        <vt:i4>3</vt:i4>
      </vt:variant>
      <vt:variant>
        <vt:i4>0</vt:i4>
      </vt:variant>
      <vt:variant>
        <vt:i4>5</vt:i4>
      </vt:variant>
      <vt:variant>
        <vt:lpwstr>mailto:filippo.bisotti@sintef.no</vt:lpwstr>
      </vt:variant>
      <vt:variant>
        <vt:lpwstr/>
      </vt:variant>
      <vt:variant>
        <vt:i4>589942</vt:i4>
      </vt:variant>
      <vt:variant>
        <vt:i4>0</vt:i4>
      </vt:variant>
      <vt:variant>
        <vt:i4>0</vt:i4>
      </vt:variant>
      <vt:variant>
        <vt:i4>5</vt:i4>
      </vt:variant>
      <vt:variant>
        <vt:lpwstr>mailto:matteo.gilardi@sintef.no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Filippo Bisotti</cp:lastModifiedBy>
  <cp:revision>1390</cp:revision>
  <cp:lastPrinted>2023-11-29T10:10:00Z</cp:lastPrinted>
  <dcterms:created xsi:type="dcterms:W3CDTF">2023-10-27T17:04:00Z</dcterms:created>
  <dcterms:modified xsi:type="dcterms:W3CDTF">2023-11-29T10:11:00Z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0x01010031B82B69D2361148B4D8F7EC156802130800691AFDED792F1A4BB871C390EA4C1671</vt:lpwstr>
  </property>
  <property fmtid="{D5CDD505-2E9C-101B-9397-08002B2CF9AE}" pid="11" name="MSIP_Label_d0484126-3486-41a9-802e-7f1e2277276c_Enabled">
    <vt:lpwstr>true</vt:lpwstr>
  </property>
  <property fmtid="{D5CDD505-2E9C-101B-9397-08002B2CF9AE}" pid="12" name="MSIP_Label_d0484126-3486-41a9-802e-7f1e2277276c_SetDate">
    <vt:lpwstr>2023-11-23T14:19:34Z</vt:lpwstr>
  </property>
  <property fmtid="{D5CDD505-2E9C-101B-9397-08002B2CF9AE}" pid="13" name="MSIP_Label_d0484126-3486-41a9-802e-7f1e2277276c_Method">
    <vt:lpwstr>Standard</vt:lpwstr>
  </property>
  <property fmtid="{D5CDD505-2E9C-101B-9397-08002B2CF9AE}" pid="14" name="MSIP_Label_d0484126-3486-41a9-802e-7f1e2277276c_Name">
    <vt:lpwstr>d0484126-3486-41a9-802e-7f1e2277276c</vt:lpwstr>
  </property>
  <property fmtid="{D5CDD505-2E9C-101B-9397-08002B2CF9AE}" pid="15" name="MSIP_Label_d0484126-3486-41a9-802e-7f1e2277276c_SiteId">
    <vt:lpwstr>eec01f8e-737f-43e3-9ed5-f8a59913bd82</vt:lpwstr>
  </property>
  <property fmtid="{D5CDD505-2E9C-101B-9397-08002B2CF9AE}" pid="16" name="MSIP_Label_d0484126-3486-41a9-802e-7f1e2277276c_ActionId">
    <vt:lpwstr>57976bde-6c1b-4534-a9dd-cddd1368bf4a</vt:lpwstr>
  </property>
  <property fmtid="{D5CDD505-2E9C-101B-9397-08002B2CF9AE}" pid="17" name="MSIP_Label_d0484126-3486-41a9-802e-7f1e2277276c_ContentBits">
    <vt:lpwstr>0</vt:lpwstr>
  </property>
</Properties>
</file>